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GB" w:eastAsia="en-US"/>
        </w:rPr>
        <w:id w:val="-810937814"/>
        <w:docPartObj>
          <w:docPartGallery w:val="Cover Pages"/>
          <w:docPartUnique/>
        </w:docPartObj>
      </w:sdtPr>
      <w:sdtEndPr>
        <w:rPr>
          <w:rFonts w:ascii="Book Antiqua" w:eastAsiaTheme="minorHAnsi" w:hAnsi="Book Antiqua" w:cstheme="minorBidi"/>
          <w:b/>
          <w:caps w:val="0"/>
        </w:rPr>
      </w:sdtEndPr>
      <w:sdtContent>
        <w:tbl>
          <w:tblPr>
            <w:tblW w:w="5000" w:type="pct"/>
            <w:jc w:val="center"/>
            <w:tblLook w:val="04A0"/>
          </w:tblPr>
          <w:tblGrid>
            <w:gridCol w:w="9242"/>
          </w:tblGrid>
          <w:tr w:rsidR="009C22F5">
            <w:trPr>
              <w:trHeight w:val="2880"/>
              <w:jc w:val="center"/>
            </w:trPr>
            <w:sdt>
              <w:sdtPr>
                <w:rPr>
                  <w:rFonts w:asciiTheme="majorHAnsi" w:eastAsiaTheme="majorEastAsia" w:hAnsiTheme="majorHAnsi" w:cstheme="majorBidi"/>
                  <w:caps/>
                  <w:lang w:val="en-GB" w:eastAsia="en-US"/>
                </w:rPr>
                <w:alias w:val="Company"/>
                <w:id w:val="15524243"/>
                <w:placeholder>
                  <w:docPart w:val="5CF141E9C90B4A3FB3DD17E3A8226962"/>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9C22F5" w:rsidRDefault="009C22F5" w:rsidP="009C22F5">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KCK Lawyers Trial</w:t>
                    </w:r>
                  </w:p>
                </w:tc>
              </w:sdtContent>
            </w:sdt>
          </w:tr>
          <w:tr w:rsidR="009C22F5">
            <w:trPr>
              <w:trHeight w:val="1440"/>
              <w:jc w:val="center"/>
            </w:trPr>
            <w:sdt>
              <w:sdtPr>
                <w:rPr>
                  <w:rFonts w:asciiTheme="majorHAnsi" w:eastAsiaTheme="majorEastAsia" w:hAnsiTheme="majorHAnsi" w:cstheme="majorBidi"/>
                  <w:sz w:val="80"/>
                  <w:szCs w:val="80"/>
                </w:rPr>
                <w:alias w:val="Title"/>
                <w:id w:val="15524250"/>
                <w:placeholder>
                  <w:docPart w:val="2A942A3D379249E990521FD16DF9323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C22F5" w:rsidRDefault="009C22F5" w:rsidP="009C22F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Trial Observation Report</w:t>
                    </w:r>
                  </w:p>
                </w:tc>
              </w:sdtContent>
            </w:sdt>
          </w:tr>
          <w:tr w:rsidR="009C22F5">
            <w:trPr>
              <w:trHeight w:val="720"/>
              <w:jc w:val="center"/>
            </w:trPr>
            <w:sdt>
              <w:sdtPr>
                <w:rPr>
                  <w:rFonts w:asciiTheme="majorHAnsi" w:eastAsiaTheme="majorEastAsia" w:hAnsiTheme="majorHAnsi" w:cstheme="majorBidi"/>
                  <w:sz w:val="44"/>
                  <w:szCs w:val="44"/>
                </w:rPr>
                <w:alias w:val="Subtitle"/>
                <w:id w:val="15524255"/>
                <w:placeholder>
                  <w:docPart w:val="1502284875B7481FB2F57314592AC571"/>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C22F5" w:rsidRDefault="009C22F5" w:rsidP="009C22F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Hearing of 3rd January 2013</w:t>
                    </w:r>
                  </w:p>
                </w:tc>
              </w:sdtContent>
            </w:sdt>
          </w:tr>
          <w:tr w:rsidR="009C22F5">
            <w:trPr>
              <w:trHeight w:val="360"/>
              <w:jc w:val="center"/>
            </w:trPr>
            <w:tc>
              <w:tcPr>
                <w:tcW w:w="5000" w:type="pct"/>
                <w:vAlign w:val="center"/>
              </w:tcPr>
              <w:p w:rsidR="009C22F5" w:rsidRDefault="009C22F5">
                <w:pPr>
                  <w:pStyle w:val="NoSpacing"/>
                  <w:jc w:val="center"/>
                </w:pPr>
              </w:p>
            </w:tc>
          </w:tr>
          <w:tr w:rsidR="009C22F5">
            <w:trPr>
              <w:trHeight w:val="360"/>
              <w:jc w:val="center"/>
            </w:trPr>
            <w:sdt>
              <w:sdtPr>
                <w:rPr>
                  <w:b/>
                  <w:bCs/>
                </w:rPr>
                <w:alias w:val="Author"/>
                <w:id w:val="15524260"/>
                <w:placeholder>
                  <w:docPart w:val="43752DE3E4A84F81B5C325BAD87BB84D"/>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C22F5" w:rsidRDefault="009C22F5">
                    <w:pPr>
                      <w:pStyle w:val="NoSpacing"/>
                      <w:jc w:val="center"/>
                      <w:rPr>
                        <w:b/>
                        <w:bCs/>
                      </w:rPr>
                    </w:pPr>
                    <w:r>
                      <w:rPr>
                        <w:b/>
                        <w:bCs/>
                        <w:lang w:val="en-GB"/>
                      </w:rPr>
                      <w:t>Tony Fisher</w:t>
                    </w:r>
                  </w:p>
                </w:tc>
              </w:sdtContent>
            </w:sdt>
          </w:tr>
          <w:tr w:rsidR="009C22F5">
            <w:trPr>
              <w:trHeight w:val="360"/>
              <w:jc w:val="center"/>
            </w:trPr>
            <w:tc>
              <w:tcPr>
                <w:tcW w:w="5000" w:type="pct"/>
                <w:vAlign w:val="center"/>
              </w:tcPr>
              <w:p w:rsidR="009C22F5" w:rsidRDefault="009C22F5">
                <w:pPr>
                  <w:pStyle w:val="NoSpacing"/>
                  <w:jc w:val="center"/>
                  <w:rPr>
                    <w:b/>
                    <w:bCs/>
                  </w:rPr>
                </w:pPr>
              </w:p>
            </w:tc>
          </w:tr>
        </w:tbl>
        <w:p w:rsidR="009C22F5" w:rsidRDefault="009C22F5"/>
        <w:p w:rsidR="009C22F5" w:rsidRDefault="009C22F5"/>
        <w:tbl>
          <w:tblPr>
            <w:tblpPr w:leftFromText="187" w:rightFromText="187" w:horzAnchor="margin" w:tblpXSpec="center" w:tblpYSpec="bottom"/>
            <w:tblW w:w="5000" w:type="pct"/>
            <w:tblLook w:val="04A0"/>
          </w:tblPr>
          <w:tblGrid>
            <w:gridCol w:w="9242"/>
          </w:tblGrid>
          <w:tr w:rsidR="009C22F5">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9C22F5" w:rsidRDefault="009C22F5" w:rsidP="009C22F5">
                    <w:pPr>
                      <w:pStyle w:val="NoSpacing"/>
                    </w:pPr>
                    <w:r>
                      <w:t xml:space="preserve">Report of hearing at </w:t>
                    </w:r>
                    <w:proofErr w:type="spellStart"/>
                    <w:r>
                      <w:t>Silviri</w:t>
                    </w:r>
                    <w:proofErr w:type="spellEnd"/>
                    <w:r>
                      <w:t xml:space="preserve"> Court Istanbul 3rd January 2013</w:t>
                    </w:r>
                  </w:p>
                </w:tc>
              </w:sdtContent>
            </w:sdt>
          </w:tr>
        </w:tbl>
        <w:p w:rsidR="009C22F5" w:rsidRDefault="009C22F5"/>
        <w:p w:rsidR="009C22F5" w:rsidRDefault="009C22F5">
          <w:pPr>
            <w:rPr>
              <w:rFonts w:ascii="Book Antiqua" w:hAnsi="Book Antiqua"/>
              <w:b/>
              <w:szCs w:val="21"/>
            </w:rPr>
          </w:pPr>
          <w:r>
            <w:rPr>
              <w:rFonts w:ascii="Book Antiqua" w:hAnsi="Book Antiqua"/>
              <w:b/>
            </w:rPr>
            <w:br w:type="page"/>
          </w:r>
        </w:p>
        <w:bookmarkStart w:id="0" w:name="_GoBack" w:displacedByCustomXml="next"/>
        <w:bookmarkEnd w:id="0" w:displacedByCustomXml="next"/>
      </w:sdtContent>
    </w:sdt>
    <w:p w:rsidR="00782273" w:rsidRPr="00782273" w:rsidRDefault="00782273" w:rsidP="00782273">
      <w:pPr>
        <w:pStyle w:val="PlainText"/>
        <w:rPr>
          <w:rFonts w:ascii="Book Antiqua" w:hAnsi="Book Antiqua"/>
          <w:b/>
        </w:rPr>
      </w:pPr>
      <w:r w:rsidRPr="00782273">
        <w:rPr>
          <w:rFonts w:ascii="Book Antiqua" w:hAnsi="Book Antiqua"/>
          <w:b/>
        </w:rPr>
        <w:lastRenderedPageBreak/>
        <w:t xml:space="preserve">KCK TRIAL OF KURDISH LAWYERS – ISTANBUL </w:t>
      </w:r>
      <w:r w:rsidR="006E4DEB">
        <w:rPr>
          <w:rFonts w:ascii="Book Antiqua" w:hAnsi="Book Antiqua"/>
          <w:b/>
        </w:rPr>
        <w:t>3</w:t>
      </w:r>
      <w:r w:rsidR="006E4DEB" w:rsidRPr="006E4DEB">
        <w:rPr>
          <w:rFonts w:ascii="Book Antiqua" w:hAnsi="Book Antiqua"/>
          <w:b/>
          <w:vertAlign w:val="superscript"/>
        </w:rPr>
        <w:t>rd</w:t>
      </w:r>
      <w:r w:rsidR="006E4DEB">
        <w:rPr>
          <w:rFonts w:ascii="Book Antiqua" w:hAnsi="Book Antiqua"/>
          <w:b/>
        </w:rPr>
        <w:t xml:space="preserve"> January 2013</w:t>
      </w:r>
    </w:p>
    <w:p w:rsidR="00782273" w:rsidRDefault="00782273" w:rsidP="00782273">
      <w:pPr>
        <w:pStyle w:val="PlainText"/>
        <w:rPr>
          <w:rFonts w:ascii="Book Antiqua" w:hAnsi="Book Antiqua"/>
        </w:rPr>
      </w:pPr>
    </w:p>
    <w:p w:rsidR="00782273" w:rsidRPr="00782273" w:rsidRDefault="00782273" w:rsidP="00782273">
      <w:pPr>
        <w:pStyle w:val="PlainText"/>
        <w:rPr>
          <w:rFonts w:ascii="Book Antiqua" w:hAnsi="Book Antiqua"/>
          <w:b/>
        </w:rPr>
      </w:pPr>
      <w:r w:rsidRPr="00782273">
        <w:rPr>
          <w:rFonts w:ascii="Book Antiqua" w:hAnsi="Book Antiqua"/>
          <w:b/>
        </w:rPr>
        <w:t xml:space="preserve">Background </w:t>
      </w:r>
    </w:p>
    <w:p w:rsidR="00782273" w:rsidRPr="00782273" w:rsidRDefault="00782273" w:rsidP="00782273">
      <w:pPr>
        <w:pStyle w:val="PlainText"/>
        <w:rPr>
          <w:rFonts w:ascii="Book Antiqua" w:hAnsi="Book Antiqua"/>
        </w:rPr>
      </w:pPr>
    </w:p>
    <w:p w:rsidR="00782273" w:rsidRDefault="001E5326" w:rsidP="00782273">
      <w:pPr>
        <w:pStyle w:val="PlainText"/>
        <w:rPr>
          <w:rFonts w:ascii="Book Antiqua" w:hAnsi="Book Antiqua"/>
        </w:rPr>
      </w:pPr>
      <w:r>
        <w:rPr>
          <w:rFonts w:ascii="Book Antiqua" w:hAnsi="Book Antiqua"/>
        </w:rPr>
        <w:t>This is a further report on the trial of 46 Kurdish lawyers and other professionals on alleged terrorist offences arising out of their position as representatives of the PKK leader Abdullah Ocalan. The trial was adjourned from November</w:t>
      </w:r>
      <w:r w:rsidR="005252EA">
        <w:rPr>
          <w:rFonts w:ascii="Book Antiqua" w:hAnsi="Book Antiqua"/>
        </w:rPr>
        <w:t xml:space="preserve"> 2012</w:t>
      </w:r>
      <w:r>
        <w:rPr>
          <w:rFonts w:ascii="Book Antiqua" w:hAnsi="Book Antiqua"/>
        </w:rPr>
        <w:t xml:space="preserve"> to 3</w:t>
      </w:r>
      <w:r w:rsidRPr="005252EA">
        <w:rPr>
          <w:rFonts w:ascii="Book Antiqua" w:hAnsi="Book Antiqua"/>
        </w:rPr>
        <w:t>rd</w:t>
      </w:r>
      <w:r>
        <w:rPr>
          <w:rFonts w:ascii="Book Antiqua" w:hAnsi="Book Antiqua"/>
        </w:rPr>
        <w:t xml:space="preserve"> January 2013 and resumed on the morning of 3</w:t>
      </w:r>
      <w:r w:rsidRPr="005252EA">
        <w:rPr>
          <w:rFonts w:ascii="Book Antiqua" w:hAnsi="Book Antiqua"/>
        </w:rPr>
        <w:t>rd</w:t>
      </w:r>
      <w:r>
        <w:rPr>
          <w:rFonts w:ascii="Book Antiqua" w:hAnsi="Book Antiqua"/>
        </w:rPr>
        <w:t xml:space="preserve"> January at </w:t>
      </w:r>
      <w:proofErr w:type="spellStart"/>
      <w:r>
        <w:rPr>
          <w:rFonts w:ascii="Book Antiqua" w:hAnsi="Book Antiqua"/>
        </w:rPr>
        <w:t>Silivri</w:t>
      </w:r>
      <w:proofErr w:type="spellEnd"/>
      <w:r>
        <w:rPr>
          <w:rFonts w:ascii="Book Antiqua" w:hAnsi="Book Antiqua"/>
        </w:rPr>
        <w:t xml:space="preserve"> court. </w:t>
      </w:r>
      <w:r w:rsidR="00330908">
        <w:rPr>
          <w:rFonts w:ascii="Book Antiqua" w:hAnsi="Book Antiqua"/>
        </w:rPr>
        <w:t>This report should be read in conjunction with my earlier report dated 8</w:t>
      </w:r>
      <w:r w:rsidR="00330908" w:rsidRPr="005252EA">
        <w:rPr>
          <w:rFonts w:ascii="Book Antiqua" w:hAnsi="Book Antiqua"/>
        </w:rPr>
        <w:t>th</w:t>
      </w:r>
      <w:r w:rsidR="00330908">
        <w:rPr>
          <w:rFonts w:ascii="Book Antiqua" w:hAnsi="Book Antiqua"/>
        </w:rPr>
        <w:t xml:space="preserve"> November 2012.</w:t>
      </w:r>
    </w:p>
    <w:p w:rsidR="00330908" w:rsidRDefault="00330908" w:rsidP="00782273">
      <w:pPr>
        <w:pStyle w:val="PlainText"/>
        <w:rPr>
          <w:rFonts w:ascii="Book Antiqua" w:hAnsi="Book Antiqua"/>
        </w:rPr>
      </w:pPr>
    </w:p>
    <w:p w:rsidR="00330908" w:rsidRDefault="005252EA" w:rsidP="00782273">
      <w:pPr>
        <w:pStyle w:val="PlainText"/>
        <w:rPr>
          <w:rFonts w:ascii="Book Antiqua" w:hAnsi="Book Antiqua"/>
        </w:rPr>
      </w:pPr>
      <w:r>
        <w:rPr>
          <w:rFonts w:ascii="Book Antiqua" w:hAnsi="Book Antiqua"/>
        </w:rPr>
        <w:t xml:space="preserve">Immediately after the hearing which took place in November 2012 the hunger strike amongst KCK defendants had been called off. This had happened on the instruction of Mr Ocalan. </w:t>
      </w:r>
      <w:r w:rsidR="00330908">
        <w:rPr>
          <w:rFonts w:ascii="Book Antiqua" w:hAnsi="Book Antiqua"/>
        </w:rPr>
        <w:t>In the days before the resumed hearing news emerged from the Turkish government that members of the intelligence service had been in further discussion with Mr Ocalan with a view to re-opening talks to find a solution of the Kurdish issues in Turkey</w:t>
      </w:r>
      <w:r w:rsidR="00DD3A5D">
        <w:rPr>
          <w:rFonts w:ascii="Book Antiqua" w:hAnsi="Book Antiqua"/>
        </w:rPr>
        <w:t>. O</w:t>
      </w:r>
      <w:r w:rsidR="00330908">
        <w:rPr>
          <w:rFonts w:ascii="Book Antiqua" w:hAnsi="Book Antiqua"/>
        </w:rPr>
        <w:t>n the day of the trial itself government members visited him for further discussions.</w:t>
      </w:r>
    </w:p>
    <w:p w:rsidR="00330908" w:rsidRDefault="00330908" w:rsidP="00782273">
      <w:pPr>
        <w:pStyle w:val="PlainText"/>
        <w:rPr>
          <w:rFonts w:ascii="Book Antiqua" w:hAnsi="Book Antiqua"/>
        </w:rPr>
      </w:pPr>
    </w:p>
    <w:p w:rsidR="00330908" w:rsidRDefault="00DD3A5D" w:rsidP="00782273">
      <w:pPr>
        <w:pStyle w:val="PlainText"/>
        <w:rPr>
          <w:rFonts w:ascii="Book Antiqua" w:hAnsi="Book Antiqua"/>
        </w:rPr>
      </w:pPr>
      <w:r>
        <w:rPr>
          <w:rFonts w:ascii="Book Antiqua" w:hAnsi="Book Antiqua"/>
        </w:rPr>
        <w:t>After</w:t>
      </w:r>
      <w:r w:rsidR="00330908">
        <w:rPr>
          <w:rFonts w:ascii="Book Antiqua" w:hAnsi="Book Antiqua"/>
        </w:rPr>
        <w:t xml:space="preserve"> the hearing in November 2012 </w:t>
      </w:r>
      <w:r>
        <w:rPr>
          <w:rFonts w:ascii="Book Antiqua" w:hAnsi="Book Antiqua"/>
        </w:rPr>
        <w:t xml:space="preserve">I obtained </w:t>
      </w:r>
      <w:r w:rsidR="00330908">
        <w:rPr>
          <w:rFonts w:ascii="Book Antiqua" w:hAnsi="Book Antiqua"/>
        </w:rPr>
        <w:t>a copy of the indictment against the Defendants.</w:t>
      </w:r>
      <w:r w:rsidR="005252EA">
        <w:rPr>
          <w:rFonts w:ascii="Book Antiqua" w:hAnsi="Book Antiqua"/>
        </w:rPr>
        <w:t xml:space="preserve"> It is 892 pages long</w:t>
      </w:r>
      <w:r w:rsidR="00111FDE">
        <w:rPr>
          <w:rFonts w:ascii="Book Antiqua" w:hAnsi="Book Antiqua"/>
        </w:rPr>
        <w:t xml:space="preserve">. </w:t>
      </w:r>
      <w:r w:rsidR="00330908">
        <w:rPr>
          <w:rFonts w:ascii="Book Antiqua" w:hAnsi="Book Antiqua"/>
        </w:rPr>
        <w:t xml:space="preserve"> With the assistance of two members of the International Action Team</w:t>
      </w:r>
      <w:r w:rsidR="00304461">
        <w:rPr>
          <w:rFonts w:ascii="Book Antiqua" w:hAnsi="Book Antiqua"/>
        </w:rPr>
        <w:t xml:space="preserve"> (“IAT”) </w:t>
      </w:r>
      <w:r w:rsidR="00330908">
        <w:rPr>
          <w:rFonts w:ascii="Book Antiqua" w:hAnsi="Book Antiqua"/>
        </w:rPr>
        <w:t>of volunteer lawyers and students who work with the Law Society of England and Wales a summary of the indictment and the charges against each of the Defendants translated into English has now been prepared</w:t>
      </w:r>
      <w:r w:rsidR="00FF651B">
        <w:rPr>
          <w:rFonts w:ascii="Book Antiqua" w:hAnsi="Book Antiqua"/>
        </w:rPr>
        <w:t>.</w:t>
      </w:r>
      <w:r w:rsidR="00330908">
        <w:rPr>
          <w:rFonts w:ascii="Book Antiqua" w:hAnsi="Book Antiqua"/>
        </w:rPr>
        <w:t xml:space="preserve"> This shows that the essence of the case against each of the defendants is essentially the same i.e. that in their capacity as lawyers for Mr Ocalan they effectively acted as “mediators” who provided members of illegal organisations with “information and direction” from Mr Ocalan and as such were involved in the “strategy and management” of the illegal organisations</w:t>
      </w:r>
      <w:r w:rsidR="00FC1019">
        <w:rPr>
          <w:rFonts w:ascii="Book Antiqua" w:hAnsi="Book Antiqua"/>
        </w:rPr>
        <w:t>.</w:t>
      </w:r>
      <w:r w:rsidR="00330908">
        <w:rPr>
          <w:rFonts w:ascii="Book Antiqua" w:hAnsi="Book Antiqua"/>
        </w:rPr>
        <w:t xml:space="preserve">  The indictment also gives further insight into the methods used to collate evidence, including the use of telephone intercepts, search warrants in relation to both office and personal accommodation, and detailed analysis of publications made and interviews given by various defendants to the media. Other forms of surveillance (including “technical searches” making use of telephone signals to identify the geographical location of defendants) </w:t>
      </w:r>
      <w:r w:rsidR="00FC1019">
        <w:rPr>
          <w:rFonts w:ascii="Book Antiqua" w:hAnsi="Book Antiqua"/>
        </w:rPr>
        <w:t>were also used. Items confiscated and examined included hard disks containing confidential client information with regard to other clients, together with their physical case files. These were also subject to detailed scrutiny</w:t>
      </w:r>
      <w:r w:rsidR="00111FDE">
        <w:rPr>
          <w:rFonts w:ascii="Book Antiqua" w:hAnsi="Book Antiqua"/>
        </w:rPr>
        <w:t xml:space="preserve"> in an </w:t>
      </w:r>
      <w:r w:rsidR="00FC1019">
        <w:rPr>
          <w:rFonts w:ascii="Book Antiqua" w:hAnsi="Book Antiqua"/>
        </w:rPr>
        <w:t xml:space="preserve">attempt to secure evidence of the lawyers own involvement in terrorist activities. </w:t>
      </w:r>
    </w:p>
    <w:p w:rsidR="00FC1019" w:rsidRDefault="00FC1019" w:rsidP="00782273">
      <w:pPr>
        <w:pStyle w:val="PlainText"/>
        <w:rPr>
          <w:rFonts w:ascii="Book Antiqua" w:hAnsi="Book Antiqua"/>
        </w:rPr>
      </w:pPr>
    </w:p>
    <w:p w:rsidR="00FC1019" w:rsidRPr="00096A7A" w:rsidRDefault="00FC1019" w:rsidP="00782273">
      <w:pPr>
        <w:pStyle w:val="PlainText"/>
        <w:rPr>
          <w:rFonts w:ascii="Book Antiqua" w:hAnsi="Book Antiqua"/>
          <w:b/>
        </w:rPr>
      </w:pPr>
      <w:r w:rsidRPr="00096A7A">
        <w:rPr>
          <w:rFonts w:ascii="Book Antiqua" w:hAnsi="Book Antiqua"/>
          <w:b/>
        </w:rPr>
        <w:t>Relevant Domestic Law</w:t>
      </w:r>
    </w:p>
    <w:p w:rsidR="00FC1019" w:rsidRDefault="00FC1019" w:rsidP="00782273">
      <w:pPr>
        <w:pStyle w:val="PlainText"/>
        <w:rPr>
          <w:rFonts w:ascii="Book Antiqua" w:hAnsi="Book Antiqua"/>
        </w:rPr>
      </w:pPr>
    </w:p>
    <w:p w:rsidR="00FC1019" w:rsidRPr="00FC1019" w:rsidRDefault="00FC1019" w:rsidP="00FC1019">
      <w:pPr>
        <w:pStyle w:val="PlainText"/>
        <w:rPr>
          <w:rFonts w:ascii="Book Antiqua" w:hAnsi="Book Antiqua"/>
        </w:rPr>
      </w:pPr>
      <w:r>
        <w:rPr>
          <w:rFonts w:ascii="Book Antiqua" w:hAnsi="Book Antiqua"/>
        </w:rPr>
        <w:t xml:space="preserve">The main provisions under which the Defendants are charged are </w:t>
      </w:r>
      <w:r w:rsidRPr="00FC1019">
        <w:rPr>
          <w:rFonts w:ascii="Book Antiqua" w:hAnsi="Book Antiqua"/>
        </w:rPr>
        <w:t>Sections 314/1 and 314/2 of the Turkish Penal Code which read:</w:t>
      </w:r>
    </w:p>
    <w:p w:rsidR="00FC1019" w:rsidRPr="00FC1019" w:rsidRDefault="00FC1019" w:rsidP="00FC1019">
      <w:pPr>
        <w:pStyle w:val="PlainText"/>
        <w:rPr>
          <w:rFonts w:ascii="Book Antiqua" w:hAnsi="Book Antiqua"/>
        </w:rPr>
      </w:pPr>
    </w:p>
    <w:p w:rsidR="00FC1019" w:rsidRPr="00FC1019" w:rsidRDefault="00FC1019" w:rsidP="00FC1019">
      <w:pPr>
        <w:ind w:left="720"/>
        <w:rPr>
          <w:rFonts w:ascii="Book Antiqua" w:hAnsi="Book Antiqua"/>
          <w:sz w:val="20"/>
          <w:szCs w:val="20"/>
        </w:rPr>
      </w:pPr>
      <w:r w:rsidRPr="00FC1019">
        <w:rPr>
          <w:rFonts w:ascii="Book Antiqua" w:hAnsi="Book Antiqua"/>
          <w:sz w:val="20"/>
          <w:szCs w:val="20"/>
        </w:rPr>
        <w:t>“314. (1) Persons who found or run a military (armed) organisation in order to commit the offences in parts 4 and 5 of this chapter shall receive sentences of 10 to 15 years in prison.</w:t>
      </w:r>
    </w:p>
    <w:p w:rsidR="00FC1019" w:rsidRPr="00FC1019" w:rsidRDefault="00FC1019" w:rsidP="00FC1019">
      <w:pPr>
        <w:ind w:left="720"/>
        <w:rPr>
          <w:rFonts w:ascii="Book Antiqua" w:hAnsi="Book Antiqua"/>
          <w:sz w:val="20"/>
          <w:szCs w:val="20"/>
        </w:rPr>
      </w:pPr>
      <w:r w:rsidRPr="00FC1019">
        <w:rPr>
          <w:rFonts w:ascii="Book Antiqua" w:hAnsi="Book Antiqua"/>
          <w:sz w:val="20"/>
          <w:szCs w:val="20"/>
        </w:rPr>
        <w:t xml:space="preserve">         (2)Persons who are members of the organisations described in subsection 1 shall receive sentences of 5 to 10 years in prison. “</w:t>
      </w:r>
    </w:p>
    <w:p w:rsidR="00905E30" w:rsidRDefault="00905E30" w:rsidP="00FC1019">
      <w:pPr>
        <w:rPr>
          <w:rFonts w:ascii="Book Antiqua" w:hAnsi="Book Antiqua"/>
          <w:szCs w:val="21"/>
        </w:rPr>
      </w:pPr>
      <w:r>
        <w:rPr>
          <w:rFonts w:ascii="Book Antiqua" w:hAnsi="Book Antiqua"/>
          <w:szCs w:val="21"/>
        </w:rPr>
        <w:t>Offences under parts 4 and 5 are offences against national security which would include becoming members of terrorist groups.</w:t>
      </w:r>
    </w:p>
    <w:p w:rsidR="00905E30" w:rsidRDefault="00905E30" w:rsidP="00FC1019">
      <w:pPr>
        <w:rPr>
          <w:rFonts w:ascii="Book Antiqua" w:hAnsi="Book Antiqua"/>
          <w:szCs w:val="21"/>
        </w:rPr>
      </w:pPr>
    </w:p>
    <w:p w:rsidR="00FC1019" w:rsidRPr="001E7710" w:rsidRDefault="00FC1019" w:rsidP="00FC1019">
      <w:pPr>
        <w:rPr>
          <w:rFonts w:ascii="Book Antiqua" w:hAnsi="Book Antiqua"/>
          <w:szCs w:val="21"/>
        </w:rPr>
      </w:pPr>
      <w:r w:rsidRPr="001E7710">
        <w:rPr>
          <w:rFonts w:ascii="Book Antiqua" w:hAnsi="Book Antiqua"/>
          <w:szCs w:val="21"/>
        </w:rPr>
        <w:lastRenderedPageBreak/>
        <w:t xml:space="preserve">I understand </w:t>
      </w:r>
      <w:r w:rsidR="00FF651B">
        <w:rPr>
          <w:rFonts w:ascii="Book Antiqua" w:hAnsi="Book Antiqua"/>
          <w:szCs w:val="21"/>
        </w:rPr>
        <w:t xml:space="preserve">(from research undertaken by the IAT members referred to above) </w:t>
      </w:r>
      <w:r w:rsidRPr="001E7710">
        <w:rPr>
          <w:rFonts w:ascii="Book Antiqua" w:hAnsi="Book Antiqua"/>
          <w:szCs w:val="21"/>
        </w:rPr>
        <w:t>that under sections 135 and 140 of the Turkish Law on Criminal Trials, the communications of a suspect or a defendant can be traced</w:t>
      </w:r>
      <w:r w:rsidR="00905E30">
        <w:rPr>
          <w:rFonts w:ascii="Book Antiqua" w:hAnsi="Book Antiqua"/>
          <w:szCs w:val="21"/>
        </w:rPr>
        <w:t xml:space="preserve"> (subject to judicial authority being first obtained)</w:t>
      </w:r>
      <w:r w:rsidRPr="001E7710">
        <w:rPr>
          <w:rFonts w:ascii="Book Antiqua" w:hAnsi="Book Antiqua"/>
          <w:szCs w:val="21"/>
        </w:rPr>
        <w:t xml:space="preserve"> whenever an investigation reveals good reasons to suspect that an offence has been committed and evidence cannot be obtained through other methods. This includes recordings of sound, audiovisual records and the monitoring of a person’s behaviour in public areas. It appears that application had been made to judicial authorities to secure the necessary permissions for such monitoring to take place, although the authority given had allegedly been exceeded in many cases. </w:t>
      </w:r>
    </w:p>
    <w:p w:rsidR="00FC1019" w:rsidRPr="001E7710" w:rsidRDefault="00FC1019" w:rsidP="00FC1019">
      <w:pPr>
        <w:rPr>
          <w:rFonts w:ascii="Book Antiqua" w:hAnsi="Book Antiqua"/>
          <w:szCs w:val="21"/>
        </w:rPr>
      </w:pPr>
      <w:r w:rsidRPr="001E7710">
        <w:rPr>
          <w:rFonts w:ascii="Book Antiqua" w:hAnsi="Book Antiqua"/>
          <w:szCs w:val="21"/>
        </w:rPr>
        <w:t>I understand that section 135 of the Law on Criminal Trials also takes account of the</w:t>
      </w:r>
      <w:r w:rsidR="001E7710" w:rsidRPr="001E7710">
        <w:rPr>
          <w:rFonts w:ascii="Book Antiqua" w:hAnsi="Book Antiqua"/>
          <w:szCs w:val="21"/>
        </w:rPr>
        <w:t xml:space="preserve"> right to</w:t>
      </w:r>
      <w:r w:rsidRPr="001E7710">
        <w:rPr>
          <w:rFonts w:ascii="Book Antiqua" w:hAnsi="Book Antiqua"/>
          <w:szCs w:val="21"/>
        </w:rPr>
        <w:t xml:space="preserve"> freedom of communication, which is enshrined in Article 22 of the Turkish Constitution. As a result, </w:t>
      </w:r>
      <w:r w:rsidR="001E7710" w:rsidRPr="001E7710">
        <w:rPr>
          <w:rFonts w:ascii="Book Antiqua" w:hAnsi="Book Antiqua"/>
          <w:szCs w:val="21"/>
        </w:rPr>
        <w:t>S135</w:t>
      </w:r>
      <w:r w:rsidRPr="001E7710">
        <w:rPr>
          <w:rFonts w:ascii="Book Antiqua" w:hAnsi="Book Antiqua"/>
          <w:szCs w:val="21"/>
        </w:rPr>
        <w:t xml:space="preserve"> imposes many restrictions on when and how </w:t>
      </w:r>
      <w:r w:rsidR="00905E30">
        <w:rPr>
          <w:rFonts w:ascii="Book Antiqua" w:hAnsi="Book Antiqua"/>
          <w:szCs w:val="21"/>
        </w:rPr>
        <w:t>“</w:t>
      </w:r>
      <w:r w:rsidRPr="001E7710">
        <w:rPr>
          <w:rFonts w:ascii="Book Antiqua" w:hAnsi="Book Antiqua"/>
          <w:szCs w:val="21"/>
        </w:rPr>
        <w:t>bugging</w:t>
      </w:r>
      <w:r w:rsidR="00905E30">
        <w:rPr>
          <w:rFonts w:ascii="Book Antiqua" w:hAnsi="Book Antiqua"/>
          <w:szCs w:val="21"/>
        </w:rPr>
        <w:t>”</w:t>
      </w:r>
      <w:r w:rsidRPr="001E7710">
        <w:rPr>
          <w:rFonts w:ascii="Book Antiqua" w:hAnsi="Book Antiqua"/>
          <w:szCs w:val="21"/>
        </w:rPr>
        <w:t xml:space="preserve"> can be used to gather evidence for a criminal investigation. These restrictions are based on proportion</w:t>
      </w:r>
      <w:r w:rsidR="00905E30">
        <w:rPr>
          <w:rFonts w:ascii="Book Antiqua" w:hAnsi="Book Antiqua"/>
          <w:szCs w:val="21"/>
        </w:rPr>
        <w:t xml:space="preserve">ality and practicability and </w:t>
      </w:r>
      <w:r w:rsidRPr="001E7710">
        <w:rPr>
          <w:rFonts w:ascii="Book Antiqua" w:hAnsi="Book Antiqua"/>
          <w:szCs w:val="21"/>
        </w:rPr>
        <w:t>where evidence can be obtained by more than one method, the one that should be preferred is the method that is the least restrictive of the suspect’s civil liberties. Thus, bugging can only be used as a last resort where there are no other possible means by which evidence can be obtained. Evidence obtained in this way can be used in a trial only if it has been obtained lawfully.</w:t>
      </w:r>
    </w:p>
    <w:p w:rsidR="00FC1019" w:rsidRDefault="001E7710" w:rsidP="00FC1019">
      <w:pPr>
        <w:rPr>
          <w:rFonts w:ascii="Book Antiqua" w:hAnsi="Book Antiqua"/>
          <w:szCs w:val="21"/>
        </w:rPr>
      </w:pPr>
      <w:r w:rsidRPr="001E7710">
        <w:rPr>
          <w:rFonts w:ascii="Book Antiqua" w:hAnsi="Book Antiqua"/>
          <w:szCs w:val="21"/>
        </w:rPr>
        <w:t>In the</w:t>
      </w:r>
      <w:r>
        <w:rPr>
          <w:rFonts w:ascii="Book Antiqua" w:hAnsi="Book Antiqua"/>
          <w:szCs w:val="21"/>
        </w:rPr>
        <w:t>se</w:t>
      </w:r>
      <w:r w:rsidR="00FC1019" w:rsidRPr="001E7710">
        <w:rPr>
          <w:rFonts w:ascii="Book Antiqua" w:hAnsi="Book Antiqua"/>
          <w:szCs w:val="21"/>
        </w:rPr>
        <w:t xml:space="preserve"> case</w:t>
      </w:r>
      <w:r w:rsidRPr="001E7710">
        <w:rPr>
          <w:rFonts w:ascii="Book Antiqua" w:hAnsi="Book Antiqua"/>
          <w:szCs w:val="21"/>
        </w:rPr>
        <w:t xml:space="preserve">s, the </w:t>
      </w:r>
      <w:r>
        <w:rPr>
          <w:rFonts w:ascii="Book Antiqua" w:hAnsi="Book Antiqua"/>
          <w:szCs w:val="21"/>
        </w:rPr>
        <w:t>i</w:t>
      </w:r>
      <w:r w:rsidR="00FC1019" w:rsidRPr="001E7710">
        <w:rPr>
          <w:rFonts w:ascii="Book Antiqua" w:hAnsi="Book Antiqua"/>
          <w:szCs w:val="21"/>
        </w:rPr>
        <w:t>ndictment states that a court order was obtained to allow evidence to be gathered in this way. However, the decision of the court to gr</w:t>
      </w:r>
      <w:r w:rsidR="00096A7A">
        <w:rPr>
          <w:rFonts w:ascii="Book Antiqua" w:hAnsi="Book Antiqua"/>
          <w:szCs w:val="21"/>
        </w:rPr>
        <w:t>ant the order can be criticised. It is not clear that use of these provisions was</w:t>
      </w:r>
      <w:r w:rsidR="00FC1019" w:rsidRPr="001E7710">
        <w:rPr>
          <w:rFonts w:ascii="Book Antiqua" w:hAnsi="Book Antiqua"/>
          <w:szCs w:val="21"/>
        </w:rPr>
        <w:t xml:space="preserve"> proportionate </w:t>
      </w:r>
      <w:r w:rsidRPr="001E7710">
        <w:rPr>
          <w:rFonts w:ascii="Book Antiqua" w:hAnsi="Book Antiqua"/>
          <w:szCs w:val="21"/>
        </w:rPr>
        <w:t xml:space="preserve">(especially since it involved the breach of legal professional privilege between the lawyer and other clients) </w:t>
      </w:r>
      <w:r w:rsidR="00FC1019" w:rsidRPr="001E7710">
        <w:rPr>
          <w:rFonts w:ascii="Book Antiqua" w:hAnsi="Book Antiqua"/>
          <w:szCs w:val="21"/>
        </w:rPr>
        <w:t>and whether evidence</w:t>
      </w:r>
      <w:r w:rsidRPr="001E7710">
        <w:rPr>
          <w:rFonts w:ascii="Book Antiqua" w:hAnsi="Book Antiqua"/>
          <w:szCs w:val="21"/>
        </w:rPr>
        <w:t xml:space="preserve"> of alleged involvement in terrorist activities</w:t>
      </w:r>
      <w:r w:rsidR="00FC1019" w:rsidRPr="001E7710">
        <w:rPr>
          <w:rFonts w:ascii="Book Antiqua" w:hAnsi="Book Antiqua"/>
          <w:szCs w:val="21"/>
        </w:rPr>
        <w:t xml:space="preserve"> could not </w:t>
      </w:r>
      <w:r w:rsidRPr="001E7710">
        <w:rPr>
          <w:rFonts w:ascii="Book Antiqua" w:hAnsi="Book Antiqua"/>
          <w:szCs w:val="21"/>
        </w:rPr>
        <w:t>have been</w:t>
      </w:r>
      <w:r w:rsidR="00FC1019" w:rsidRPr="001E7710">
        <w:rPr>
          <w:rFonts w:ascii="Book Antiqua" w:hAnsi="Book Antiqua"/>
          <w:szCs w:val="21"/>
        </w:rPr>
        <w:t xml:space="preserve"> obtained in any other way.  </w:t>
      </w:r>
      <w:r w:rsidRPr="001E7710">
        <w:rPr>
          <w:rFonts w:ascii="Book Antiqua" w:hAnsi="Book Antiqua"/>
          <w:szCs w:val="21"/>
        </w:rPr>
        <w:t>All of the lawyers argue of course that despite the methods used, the evidence obtained is insufficient to warrant the prosecution, and various applications were made</w:t>
      </w:r>
      <w:r>
        <w:rPr>
          <w:rFonts w:ascii="Book Antiqua" w:hAnsi="Book Antiqua"/>
          <w:szCs w:val="21"/>
        </w:rPr>
        <w:t>,</w:t>
      </w:r>
      <w:r w:rsidRPr="001E7710">
        <w:rPr>
          <w:rFonts w:ascii="Book Antiqua" w:hAnsi="Book Antiqua"/>
          <w:szCs w:val="21"/>
        </w:rPr>
        <w:t xml:space="preserve"> as summarised below, for evidence to be excluded on the basis that it had been obtained illegally.</w:t>
      </w:r>
    </w:p>
    <w:p w:rsidR="006A7BE1" w:rsidRPr="00096A7A" w:rsidRDefault="006A7BE1" w:rsidP="00FC1019">
      <w:pPr>
        <w:rPr>
          <w:rFonts w:ascii="Book Antiqua" w:hAnsi="Book Antiqua"/>
          <w:b/>
          <w:szCs w:val="21"/>
        </w:rPr>
      </w:pPr>
      <w:r w:rsidRPr="00096A7A">
        <w:rPr>
          <w:rFonts w:ascii="Book Antiqua" w:hAnsi="Book Antiqua"/>
          <w:b/>
          <w:szCs w:val="21"/>
        </w:rPr>
        <w:t>Interview with one of accused lawyers</w:t>
      </w:r>
    </w:p>
    <w:p w:rsidR="006A7BE1" w:rsidRDefault="00920F56" w:rsidP="00FC1019">
      <w:pPr>
        <w:rPr>
          <w:rFonts w:ascii="Book Antiqua" w:hAnsi="Book Antiqua"/>
          <w:szCs w:val="21"/>
        </w:rPr>
      </w:pPr>
      <w:r>
        <w:rPr>
          <w:rFonts w:ascii="Book Antiqua" w:hAnsi="Book Antiqua"/>
          <w:szCs w:val="21"/>
        </w:rPr>
        <w:t xml:space="preserve">On the day prior to the trial I was given the opportunity, via Human Rights Watch, of interviewing one of the Defendant lawyers in Istanbul. I will not identify </w:t>
      </w:r>
      <w:r w:rsidR="005767FE">
        <w:rPr>
          <w:rFonts w:ascii="Book Antiqua" w:hAnsi="Book Antiqua"/>
          <w:szCs w:val="21"/>
        </w:rPr>
        <w:t>the lawyer</w:t>
      </w:r>
      <w:r>
        <w:rPr>
          <w:rFonts w:ascii="Book Antiqua" w:hAnsi="Book Antiqua"/>
          <w:szCs w:val="21"/>
        </w:rPr>
        <w:t xml:space="preserve">, but </w:t>
      </w:r>
      <w:r w:rsidR="005767FE">
        <w:rPr>
          <w:rFonts w:ascii="Book Antiqua" w:hAnsi="Book Antiqua"/>
          <w:szCs w:val="21"/>
        </w:rPr>
        <w:t>t</w:t>
      </w:r>
      <w:r>
        <w:rPr>
          <w:rFonts w:ascii="Book Antiqua" w:hAnsi="Book Antiqua"/>
          <w:szCs w:val="21"/>
        </w:rPr>
        <w:t xml:space="preserve">he </w:t>
      </w:r>
      <w:r w:rsidR="005767FE">
        <w:rPr>
          <w:rFonts w:ascii="Book Antiqua" w:hAnsi="Book Antiqua"/>
          <w:szCs w:val="21"/>
        </w:rPr>
        <w:t xml:space="preserve">lawyer </w:t>
      </w:r>
      <w:r>
        <w:rPr>
          <w:rFonts w:ascii="Book Antiqua" w:hAnsi="Book Antiqua"/>
          <w:szCs w:val="21"/>
        </w:rPr>
        <w:t xml:space="preserve">was able to provide details of procedures which had to be followed in order to secure a visit to Ocalan to take instructions. </w:t>
      </w:r>
    </w:p>
    <w:p w:rsidR="00920F56" w:rsidRDefault="00920F56" w:rsidP="00FC1019">
      <w:pPr>
        <w:rPr>
          <w:rFonts w:ascii="Book Antiqua" w:hAnsi="Book Antiqua"/>
          <w:szCs w:val="21"/>
        </w:rPr>
      </w:pPr>
      <w:r>
        <w:rPr>
          <w:rFonts w:ascii="Book Antiqua" w:hAnsi="Book Antiqua"/>
          <w:szCs w:val="21"/>
        </w:rPr>
        <w:t xml:space="preserve">The Ministry of Justice would only accept applications made by fax via a single law office, the office of </w:t>
      </w:r>
      <w:r w:rsidR="003408CE">
        <w:rPr>
          <w:rFonts w:ascii="Book Antiqua" w:hAnsi="Book Antiqua"/>
          <w:szCs w:val="21"/>
        </w:rPr>
        <w:t>“</w:t>
      </w:r>
      <w:proofErr w:type="spellStart"/>
      <w:r w:rsidR="003408CE">
        <w:rPr>
          <w:rFonts w:ascii="Book Antiqua" w:hAnsi="Book Antiqua"/>
          <w:szCs w:val="21"/>
        </w:rPr>
        <w:t>Asrin</w:t>
      </w:r>
      <w:proofErr w:type="spellEnd"/>
      <w:r w:rsidR="003408CE">
        <w:rPr>
          <w:rFonts w:ascii="Book Antiqua" w:hAnsi="Book Antiqua"/>
          <w:szCs w:val="21"/>
        </w:rPr>
        <w:t>” law firm. Application had to be made at least a month before any prospective visit. Ocalan is held in an island prison</w:t>
      </w:r>
      <w:r w:rsidR="005767FE">
        <w:rPr>
          <w:rFonts w:ascii="Book Antiqua" w:hAnsi="Book Antiqua"/>
          <w:szCs w:val="21"/>
        </w:rPr>
        <w:t>. The lawyers attended the police facility on shore at the port prior to the visit. E</w:t>
      </w:r>
      <w:r w:rsidR="003408CE">
        <w:rPr>
          <w:rFonts w:ascii="Book Antiqua" w:hAnsi="Book Antiqua"/>
          <w:szCs w:val="21"/>
        </w:rPr>
        <w:t xml:space="preserve">ach lawyer was subject to some nine searches before being allowed on the boat which transported them to the island. The lawyers were not allowed to take any telephones, pens, paper or documents with them to the island. After a two hour boat trip there was a further wait during which each of the lawyers was fingerprinted and photographed. </w:t>
      </w:r>
      <w:r w:rsidR="005767FE">
        <w:rPr>
          <w:rFonts w:ascii="Book Antiqua" w:hAnsi="Book Antiqua"/>
          <w:szCs w:val="21"/>
        </w:rPr>
        <w:t>Allegedly</w:t>
      </w:r>
      <w:r w:rsidR="003408CE">
        <w:rPr>
          <w:rFonts w:ascii="Book Antiqua" w:hAnsi="Book Antiqua"/>
          <w:szCs w:val="21"/>
        </w:rPr>
        <w:t xml:space="preserve"> each lawyer was searched a further 12 times which included walking through x ray machines and being scanned with other equipment. </w:t>
      </w:r>
      <w:r w:rsidR="003408CE">
        <w:rPr>
          <w:rFonts w:ascii="Book Antiqua" w:hAnsi="Book Antiqua"/>
          <w:szCs w:val="21"/>
        </w:rPr>
        <w:lastRenderedPageBreak/>
        <w:t xml:space="preserve">They also had to surrender any other items (even wedding rings were removed). Shoes were checked. The guards were all senior personnel not below the rank of </w:t>
      </w:r>
      <w:r w:rsidR="005767FE">
        <w:rPr>
          <w:rFonts w:ascii="Book Antiqua" w:hAnsi="Book Antiqua"/>
          <w:szCs w:val="21"/>
        </w:rPr>
        <w:t>sergeant or officer. All carried</w:t>
      </w:r>
      <w:r w:rsidR="003408CE">
        <w:rPr>
          <w:rFonts w:ascii="Book Antiqua" w:hAnsi="Book Antiqua"/>
          <w:szCs w:val="21"/>
        </w:rPr>
        <w:t xml:space="preserve"> small automatic weapons. There were nine guards. They were then taken to a room which contained three desks. One desk, which they sat at, had four chairs. Facing them was another desk to which Ocalan was brought. Between the two desks was a third desk at which an official sat with paper, pencils, and a tape recorder which was running (they could see the red light). It was summer and very hot but there was no air conditioning in the room. They all introduced themselves by name and Ocalan asked questions about the current political situation and about the activities of the PKK. On this occasion no instructions were given but he clearly expressed his opinions and had clearly prepared carefully for the meeting. </w:t>
      </w:r>
      <w:r w:rsidR="005767FE">
        <w:rPr>
          <w:rFonts w:ascii="Book Antiqua" w:hAnsi="Book Antiqua"/>
          <w:szCs w:val="21"/>
        </w:rPr>
        <w:t xml:space="preserve"> The lawyers were with him for an hour. </w:t>
      </w:r>
    </w:p>
    <w:p w:rsidR="005767FE" w:rsidRDefault="005767FE" w:rsidP="00FC1019">
      <w:pPr>
        <w:rPr>
          <w:rFonts w:ascii="Book Antiqua" w:hAnsi="Book Antiqua"/>
          <w:szCs w:val="21"/>
        </w:rPr>
      </w:pPr>
      <w:r>
        <w:rPr>
          <w:rFonts w:ascii="Book Antiqua" w:hAnsi="Book Antiqua"/>
          <w:szCs w:val="21"/>
        </w:rPr>
        <w:t xml:space="preserve">The visit was undertaken with the consent of the government (as of course all visits would have been). A note of the meeting was made later and stored with other records. </w:t>
      </w:r>
    </w:p>
    <w:p w:rsidR="005767FE" w:rsidRDefault="005767FE" w:rsidP="00FC1019">
      <w:pPr>
        <w:rPr>
          <w:rFonts w:ascii="Book Antiqua" w:hAnsi="Book Antiqua"/>
          <w:szCs w:val="21"/>
        </w:rPr>
      </w:pPr>
      <w:r>
        <w:rPr>
          <w:rFonts w:ascii="Book Antiqua" w:hAnsi="Book Antiqua"/>
          <w:szCs w:val="21"/>
        </w:rPr>
        <w:t xml:space="preserve">This defendant has been charged </w:t>
      </w:r>
      <w:r w:rsidR="005252EA">
        <w:rPr>
          <w:rFonts w:ascii="Book Antiqua" w:hAnsi="Book Antiqua"/>
          <w:szCs w:val="21"/>
        </w:rPr>
        <w:t>(</w:t>
      </w:r>
      <w:r>
        <w:rPr>
          <w:rFonts w:ascii="Book Antiqua" w:hAnsi="Book Antiqua"/>
          <w:szCs w:val="21"/>
        </w:rPr>
        <w:t>in the same way as others</w:t>
      </w:r>
      <w:r w:rsidR="005252EA">
        <w:rPr>
          <w:rFonts w:ascii="Book Antiqua" w:hAnsi="Book Antiqua"/>
          <w:szCs w:val="21"/>
        </w:rPr>
        <w:t>)</w:t>
      </w:r>
      <w:r>
        <w:rPr>
          <w:rFonts w:ascii="Book Antiqua" w:hAnsi="Book Antiqua"/>
          <w:szCs w:val="21"/>
        </w:rPr>
        <w:t xml:space="preserve"> of committing terrorist offences. As with the other lawyers all of the lawyer’s electronic case files involving other clients were confiscated and examined without the consent of those clients. </w:t>
      </w:r>
    </w:p>
    <w:p w:rsidR="00FC1019" w:rsidRPr="00096A7A" w:rsidRDefault="001E7710" w:rsidP="00FC1019">
      <w:pPr>
        <w:rPr>
          <w:rFonts w:ascii="Book Antiqua" w:hAnsi="Book Antiqua"/>
          <w:b/>
          <w:szCs w:val="21"/>
        </w:rPr>
      </w:pPr>
      <w:r w:rsidRPr="00096A7A">
        <w:rPr>
          <w:rFonts w:ascii="Book Antiqua" w:hAnsi="Book Antiqua"/>
          <w:b/>
          <w:szCs w:val="21"/>
        </w:rPr>
        <w:t>The Hearing on 3</w:t>
      </w:r>
      <w:r w:rsidRPr="00096A7A">
        <w:rPr>
          <w:rFonts w:ascii="Book Antiqua" w:hAnsi="Book Antiqua"/>
          <w:b/>
          <w:szCs w:val="21"/>
          <w:vertAlign w:val="superscript"/>
        </w:rPr>
        <w:t>rd</w:t>
      </w:r>
      <w:r w:rsidRPr="00096A7A">
        <w:rPr>
          <w:rFonts w:ascii="Book Antiqua" w:hAnsi="Book Antiqua"/>
          <w:b/>
          <w:szCs w:val="21"/>
        </w:rPr>
        <w:t xml:space="preserve"> January 2013</w:t>
      </w:r>
    </w:p>
    <w:p w:rsidR="001E7710" w:rsidRDefault="001E7710" w:rsidP="00FC1019">
      <w:pPr>
        <w:rPr>
          <w:rFonts w:ascii="Book Antiqua" w:hAnsi="Book Antiqua"/>
          <w:szCs w:val="21"/>
        </w:rPr>
      </w:pPr>
      <w:r>
        <w:rPr>
          <w:rFonts w:ascii="Book Antiqua" w:hAnsi="Book Antiqua"/>
          <w:szCs w:val="21"/>
        </w:rPr>
        <w:t xml:space="preserve">The hearing was conducted within a much larger court at </w:t>
      </w:r>
      <w:proofErr w:type="spellStart"/>
      <w:r>
        <w:rPr>
          <w:rFonts w:ascii="Book Antiqua" w:hAnsi="Book Antiqua"/>
          <w:szCs w:val="21"/>
        </w:rPr>
        <w:t>Silivri</w:t>
      </w:r>
      <w:proofErr w:type="spellEnd"/>
      <w:r>
        <w:rPr>
          <w:rFonts w:ascii="Book Antiqua" w:hAnsi="Book Antiqua"/>
          <w:szCs w:val="21"/>
        </w:rPr>
        <w:t xml:space="preserve"> than the court used in November 2012. There was sufficient accommodation for all relatives as well as the lawyers and the international delegation to be present at all times. </w:t>
      </w:r>
    </w:p>
    <w:p w:rsidR="00823A74" w:rsidRDefault="001E7710" w:rsidP="00FC1019">
      <w:pPr>
        <w:rPr>
          <w:rFonts w:ascii="Book Antiqua" w:hAnsi="Book Antiqua"/>
          <w:szCs w:val="21"/>
        </w:rPr>
      </w:pPr>
      <w:r>
        <w:rPr>
          <w:rFonts w:ascii="Book Antiqua" w:hAnsi="Book Antiqua"/>
          <w:szCs w:val="21"/>
        </w:rPr>
        <w:t>The timing of the hearing immediately after the New Year period meant that the international delegation was much reduced in number. In all roughly 20 observers were present from the United Kingdom, France, the Netherlands, and Germany. It appeared that the number of Turkish lawyers representing the defendants had increased since in all there were over 100 lawyers present on the benches reserved for Defendant’s representatives.</w:t>
      </w:r>
      <w:r w:rsidR="00076F6C">
        <w:rPr>
          <w:rFonts w:ascii="Book Antiqua" w:hAnsi="Book Antiqua"/>
          <w:szCs w:val="21"/>
        </w:rPr>
        <w:t xml:space="preserve"> On enquiry we were told that all of the lawyers were representing all of the defendants.</w:t>
      </w:r>
      <w:r>
        <w:rPr>
          <w:rFonts w:ascii="Book Antiqua" w:hAnsi="Book Antiqua"/>
          <w:szCs w:val="21"/>
        </w:rPr>
        <w:t xml:space="preserve"> Similar security arrangements were in place as had been seen in November with a large presence of gendarme and other security personnel</w:t>
      </w:r>
      <w:r w:rsidR="00905E30">
        <w:rPr>
          <w:rFonts w:ascii="Book Antiqua" w:hAnsi="Book Antiqua"/>
          <w:szCs w:val="21"/>
        </w:rPr>
        <w:t>. Many were</w:t>
      </w:r>
      <w:r>
        <w:rPr>
          <w:rFonts w:ascii="Book Antiqua" w:hAnsi="Book Antiqua"/>
          <w:szCs w:val="21"/>
        </w:rPr>
        <w:t xml:space="preserve"> in full riot gear </w:t>
      </w:r>
      <w:r w:rsidR="00905E30">
        <w:rPr>
          <w:rFonts w:ascii="Book Antiqua" w:hAnsi="Book Antiqua"/>
          <w:szCs w:val="21"/>
        </w:rPr>
        <w:t xml:space="preserve">and </w:t>
      </w:r>
      <w:r w:rsidR="00823A74">
        <w:rPr>
          <w:rFonts w:ascii="Book Antiqua" w:hAnsi="Book Antiqua"/>
          <w:szCs w:val="21"/>
        </w:rPr>
        <w:t>had</w:t>
      </w:r>
      <w:r>
        <w:rPr>
          <w:rFonts w:ascii="Book Antiqua" w:hAnsi="Book Antiqua"/>
          <w:szCs w:val="21"/>
        </w:rPr>
        <w:t xml:space="preserve"> water cannon on standby. All those entering and leaving the court house were being filmed.</w:t>
      </w:r>
    </w:p>
    <w:p w:rsidR="00953339" w:rsidRPr="00096A7A" w:rsidRDefault="00953339" w:rsidP="00FC1019">
      <w:pPr>
        <w:rPr>
          <w:rFonts w:ascii="Book Antiqua" w:hAnsi="Book Antiqua"/>
          <w:b/>
          <w:szCs w:val="21"/>
        </w:rPr>
      </w:pPr>
      <w:r w:rsidRPr="00096A7A">
        <w:rPr>
          <w:rFonts w:ascii="Book Antiqua" w:hAnsi="Book Antiqua"/>
          <w:b/>
          <w:szCs w:val="21"/>
        </w:rPr>
        <w:t>The morning session</w:t>
      </w:r>
    </w:p>
    <w:p w:rsidR="00905E30" w:rsidRDefault="00823A74" w:rsidP="00FC1019">
      <w:pPr>
        <w:rPr>
          <w:rFonts w:ascii="Book Antiqua" w:hAnsi="Book Antiqua"/>
          <w:szCs w:val="21"/>
        </w:rPr>
      </w:pPr>
      <w:r>
        <w:rPr>
          <w:rFonts w:ascii="Book Antiqua" w:hAnsi="Book Antiqua"/>
          <w:szCs w:val="21"/>
        </w:rPr>
        <w:t xml:space="preserve">The morning started with an application by one of the lawyers for the proceedings to be adjourned to allow the new law which had been announced at the time of the previous hearing (to allow the use of Kurdish in criminal proceedings where the defendant wishes the proceedings to be conducted in their mother tongue) to be passed. </w:t>
      </w:r>
      <w:r w:rsidR="00905E30">
        <w:rPr>
          <w:rFonts w:ascii="Book Antiqua" w:hAnsi="Book Antiqua"/>
          <w:szCs w:val="21"/>
        </w:rPr>
        <w:t>This was rejected.</w:t>
      </w:r>
    </w:p>
    <w:p w:rsidR="001E7710" w:rsidRDefault="00823A74" w:rsidP="00FC1019">
      <w:pPr>
        <w:rPr>
          <w:rFonts w:ascii="Book Antiqua" w:hAnsi="Book Antiqua"/>
          <w:szCs w:val="21"/>
        </w:rPr>
      </w:pPr>
      <w:r>
        <w:rPr>
          <w:rFonts w:ascii="Book Antiqua" w:hAnsi="Book Antiqua"/>
          <w:szCs w:val="21"/>
        </w:rPr>
        <w:t xml:space="preserve">The judge then invited a number of defendants to come forward </w:t>
      </w:r>
      <w:r w:rsidR="00076F6C">
        <w:rPr>
          <w:rFonts w:ascii="Book Antiqua" w:hAnsi="Book Antiqua"/>
          <w:szCs w:val="21"/>
        </w:rPr>
        <w:t xml:space="preserve">for charges to be read and </w:t>
      </w:r>
      <w:r>
        <w:rPr>
          <w:rFonts w:ascii="Book Antiqua" w:hAnsi="Book Antiqua"/>
          <w:szCs w:val="21"/>
        </w:rPr>
        <w:t>to answer questions with regard to the charges against them. All save one demanded an interpreter and refused to answer questions unless one was provided.</w:t>
      </w:r>
      <w:r w:rsidR="00076F6C">
        <w:rPr>
          <w:rFonts w:ascii="Book Antiqua" w:hAnsi="Book Antiqua"/>
          <w:szCs w:val="21"/>
        </w:rPr>
        <w:t xml:space="preserve"> One lawyer</w:t>
      </w:r>
      <w:r w:rsidR="00905E30">
        <w:rPr>
          <w:rFonts w:ascii="Book Antiqua" w:hAnsi="Book Antiqua"/>
          <w:szCs w:val="21"/>
        </w:rPr>
        <w:t>,</w:t>
      </w:r>
      <w:r w:rsidR="00076F6C">
        <w:rPr>
          <w:rFonts w:ascii="Book Antiqua" w:hAnsi="Book Antiqua"/>
          <w:szCs w:val="21"/>
        </w:rPr>
        <w:t xml:space="preserve"> </w:t>
      </w:r>
      <w:proofErr w:type="spellStart"/>
      <w:r w:rsidR="00076F6C" w:rsidRPr="00076F6C">
        <w:rPr>
          <w:rFonts w:ascii="Book Antiqua" w:hAnsi="Book Antiqua"/>
          <w:szCs w:val="21"/>
        </w:rPr>
        <w:t>Umit</w:t>
      </w:r>
      <w:proofErr w:type="spellEnd"/>
      <w:r w:rsidR="00076F6C" w:rsidRPr="00076F6C">
        <w:rPr>
          <w:rFonts w:ascii="Book Antiqua" w:hAnsi="Book Antiqua"/>
          <w:szCs w:val="21"/>
        </w:rPr>
        <w:t xml:space="preserve"> SİSLİGÜN, was prepared to speak in Turkish and claimed that all allegations in his case file were untrue. He had been to see Ocalan only once and had followed the procedure </w:t>
      </w:r>
      <w:r w:rsidR="00076F6C" w:rsidRPr="00076F6C">
        <w:rPr>
          <w:rFonts w:ascii="Book Antiqua" w:hAnsi="Book Antiqua"/>
          <w:szCs w:val="21"/>
        </w:rPr>
        <w:lastRenderedPageBreak/>
        <w:t>demanded by the Ministry of Justice, had not been allowed to take anything with him</w:t>
      </w:r>
      <w:r w:rsidR="00905E30">
        <w:rPr>
          <w:rFonts w:ascii="Book Antiqua" w:hAnsi="Book Antiqua"/>
          <w:szCs w:val="21"/>
        </w:rPr>
        <w:t>,</w:t>
      </w:r>
      <w:r w:rsidR="00076F6C" w:rsidRPr="00076F6C">
        <w:rPr>
          <w:rFonts w:ascii="Book Antiqua" w:hAnsi="Book Antiqua"/>
          <w:szCs w:val="21"/>
        </w:rPr>
        <w:t xml:space="preserve"> and the interview had been recorded so that the state was aware of everything that was said in any event</w:t>
      </w:r>
      <w:r w:rsidR="00076F6C">
        <w:rPr>
          <w:rFonts w:ascii="Book Antiqua" w:hAnsi="Book Antiqua"/>
          <w:szCs w:val="21"/>
        </w:rPr>
        <w:t xml:space="preserve">. Further defendants refused to answer the charges in Turkish and there was a short adjournment. </w:t>
      </w:r>
    </w:p>
    <w:p w:rsidR="00953339" w:rsidRDefault="00076F6C" w:rsidP="00FC1019">
      <w:pPr>
        <w:rPr>
          <w:rFonts w:ascii="Book Antiqua" w:hAnsi="Book Antiqua"/>
          <w:szCs w:val="21"/>
        </w:rPr>
      </w:pPr>
      <w:proofErr w:type="spellStart"/>
      <w:r>
        <w:rPr>
          <w:rFonts w:ascii="Book Antiqua" w:hAnsi="Book Antiqua"/>
          <w:szCs w:val="21"/>
        </w:rPr>
        <w:t>Subesquent</w:t>
      </w:r>
      <w:proofErr w:type="spellEnd"/>
      <w:r>
        <w:rPr>
          <w:rFonts w:ascii="Book Antiqua" w:hAnsi="Book Antiqua"/>
          <w:szCs w:val="21"/>
        </w:rPr>
        <w:t xml:space="preserve"> to the adjournment a long submission was made by one of the lawyers which focused on the lack of any “rule of law” on the island on which Ocalan had been imprisoned. Reference was made to the fact that the </w:t>
      </w:r>
      <w:proofErr w:type="spellStart"/>
      <w:r>
        <w:rPr>
          <w:rFonts w:ascii="Book Antiqua" w:hAnsi="Book Antiqua"/>
          <w:szCs w:val="21"/>
        </w:rPr>
        <w:t>EC</w:t>
      </w:r>
      <w:r w:rsidR="00953339">
        <w:rPr>
          <w:rFonts w:ascii="Book Antiqua" w:hAnsi="Book Antiqua"/>
          <w:szCs w:val="21"/>
        </w:rPr>
        <w:t>t</w:t>
      </w:r>
      <w:r>
        <w:rPr>
          <w:rFonts w:ascii="Book Antiqua" w:hAnsi="Book Antiqua"/>
          <w:szCs w:val="21"/>
        </w:rPr>
        <w:t>HR</w:t>
      </w:r>
      <w:proofErr w:type="spellEnd"/>
      <w:r>
        <w:rPr>
          <w:rFonts w:ascii="Book Antiqua" w:hAnsi="Book Antiqua"/>
          <w:szCs w:val="21"/>
        </w:rPr>
        <w:t xml:space="preserve"> had found the mode of his incarceration in violation of article 3, and his isolation was made subject to an application </w:t>
      </w:r>
      <w:r w:rsidR="00953339">
        <w:rPr>
          <w:rFonts w:ascii="Book Antiqua" w:hAnsi="Book Antiqua"/>
          <w:szCs w:val="21"/>
        </w:rPr>
        <w:t xml:space="preserve">to a domestic court to determine whether or not it was incompatible with Turkey’s obligations under the European Convention on Human Rights. </w:t>
      </w:r>
      <w:r>
        <w:rPr>
          <w:rFonts w:ascii="Book Antiqua" w:hAnsi="Book Antiqua"/>
          <w:szCs w:val="21"/>
        </w:rPr>
        <w:t xml:space="preserve"> </w:t>
      </w:r>
      <w:r w:rsidR="00953339">
        <w:rPr>
          <w:rFonts w:ascii="Book Antiqua" w:hAnsi="Book Antiqua"/>
          <w:szCs w:val="21"/>
        </w:rPr>
        <w:t>This had been refused. Attempts made to visit him had often been thwarted by representations that the boat used to transfer lawyers to the island was broken. Further representation</w:t>
      </w:r>
      <w:r w:rsidR="0032698C">
        <w:rPr>
          <w:rFonts w:ascii="Book Antiqua" w:hAnsi="Book Antiqua"/>
          <w:szCs w:val="21"/>
        </w:rPr>
        <w:t>s</w:t>
      </w:r>
      <w:r w:rsidR="00953339">
        <w:rPr>
          <w:rFonts w:ascii="Book Antiqua" w:hAnsi="Book Antiqua"/>
          <w:szCs w:val="21"/>
        </w:rPr>
        <w:t xml:space="preserve"> were made concerning bail and complaints were made concerning the recording of the interviews as a breach of client confidentiality under Turkish law. The hearing then adjourned for lunch and the international delegation were invited to meet the judges and exchange pleasantries. Opportunity was also given during the lunch break for the delegation to greet the accused but no effective communication took place. </w:t>
      </w:r>
    </w:p>
    <w:p w:rsidR="00953339" w:rsidRPr="00096A7A" w:rsidRDefault="00953339" w:rsidP="00FC1019">
      <w:pPr>
        <w:rPr>
          <w:rFonts w:ascii="Book Antiqua" w:hAnsi="Book Antiqua"/>
          <w:b/>
          <w:szCs w:val="21"/>
        </w:rPr>
      </w:pPr>
      <w:r w:rsidRPr="00096A7A">
        <w:rPr>
          <w:rFonts w:ascii="Book Antiqua" w:hAnsi="Book Antiqua"/>
          <w:b/>
          <w:szCs w:val="21"/>
        </w:rPr>
        <w:t>The afternoon session</w:t>
      </w:r>
    </w:p>
    <w:p w:rsidR="00953339" w:rsidRDefault="00953339" w:rsidP="00FC1019">
      <w:pPr>
        <w:rPr>
          <w:rFonts w:ascii="Book Antiqua" w:hAnsi="Book Antiqua"/>
          <w:szCs w:val="21"/>
        </w:rPr>
      </w:pPr>
      <w:r>
        <w:rPr>
          <w:rFonts w:ascii="Book Antiqua" w:hAnsi="Book Antiqua"/>
          <w:szCs w:val="21"/>
        </w:rPr>
        <w:t>During the course of the afternoon a substantial number of lawyers made representations. Some made representations on behalf of all the defendants, some on behalf of particular defendants. The first lawyer to speak focused on the admissibility of the evidence presented by the prosecutor</w:t>
      </w:r>
      <w:r w:rsidR="00205BA8">
        <w:rPr>
          <w:rFonts w:ascii="Book Antiqua" w:hAnsi="Book Antiqua"/>
          <w:szCs w:val="21"/>
        </w:rPr>
        <w:t>, and the fashion in which the investigations had been carried out</w:t>
      </w:r>
      <w:r>
        <w:rPr>
          <w:rFonts w:ascii="Book Antiqua" w:hAnsi="Book Antiqua"/>
          <w:szCs w:val="21"/>
        </w:rPr>
        <w:t xml:space="preserve">. Her representations had apparently been </w:t>
      </w:r>
      <w:r w:rsidR="00096A7A">
        <w:rPr>
          <w:rFonts w:ascii="Book Antiqua" w:hAnsi="Book Antiqua"/>
          <w:szCs w:val="21"/>
        </w:rPr>
        <w:t>drafted</w:t>
      </w:r>
      <w:r>
        <w:rPr>
          <w:rFonts w:ascii="Book Antiqua" w:hAnsi="Book Antiqua"/>
          <w:szCs w:val="21"/>
        </w:rPr>
        <w:t xml:space="preserve"> </w:t>
      </w:r>
      <w:r w:rsidR="00096A7A">
        <w:rPr>
          <w:rFonts w:ascii="Book Antiqua" w:hAnsi="Book Antiqua"/>
          <w:szCs w:val="21"/>
        </w:rPr>
        <w:t>collectively by around</w:t>
      </w:r>
      <w:r>
        <w:rPr>
          <w:rFonts w:ascii="Book Antiqua" w:hAnsi="Book Antiqua"/>
          <w:szCs w:val="21"/>
        </w:rPr>
        <w:t xml:space="preserve"> 40 of the representing law</w:t>
      </w:r>
      <w:r w:rsidR="00096A7A">
        <w:rPr>
          <w:rFonts w:ascii="Book Antiqua" w:hAnsi="Book Antiqua"/>
          <w:szCs w:val="21"/>
        </w:rPr>
        <w:t>yers and in summary her princip</w:t>
      </w:r>
      <w:r>
        <w:rPr>
          <w:rFonts w:ascii="Book Antiqua" w:hAnsi="Book Antiqua"/>
          <w:szCs w:val="21"/>
        </w:rPr>
        <w:t>l</w:t>
      </w:r>
      <w:r w:rsidR="00096A7A">
        <w:rPr>
          <w:rFonts w:ascii="Book Antiqua" w:hAnsi="Book Antiqua"/>
          <w:szCs w:val="21"/>
        </w:rPr>
        <w:t>e</w:t>
      </w:r>
      <w:r>
        <w:rPr>
          <w:rFonts w:ascii="Book Antiqua" w:hAnsi="Book Antiqua"/>
          <w:szCs w:val="21"/>
        </w:rPr>
        <w:t xml:space="preserve"> points were as follows:-</w:t>
      </w:r>
    </w:p>
    <w:p w:rsidR="00953339" w:rsidRPr="0033165D" w:rsidRDefault="00205BA8" w:rsidP="0033165D">
      <w:pPr>
        <w:pStyle w:val="ListParagraph"/>
        <w:numPr>
          <w:ilvl w:val="0"/>
          <w:numId w:val="2"/>
        </w:numPr>
        <w:rPr>
          <w:rFonts w:ascii="Book Antiqua" w:hAnsi="Book Antiqua"/>
          <w:szCs w:val="21"/>
        </w:rPr>
      </w:pPr>
      <w:r w:rsidRPr="0033165D">
        <w:rPr>
          <w:rFonts w:ascii="Book Antiqua" w:hAnsi="Book Antiqua"/>
          <w:szCs w:val="21"/>
        </w:rPr>
        <w:t>Privileged conversations between lawyers and clients are private and cannot be recorded under Turkish law. The privilege belongs to the client. Making a special case of Ocalan was not permitted and unlawful evidence of this nature should be removed from the files</w:t>
      </w:r>
      <w:r w:rsidR="00096A7A">
        <w:rPr>
          <w:rFonts w:ascii="Book Antiqua" w:hAnsi="Book Antiqua"/>
          <w:szCs w:val="21"/>
        </w:rPr>
        <w:t>;</w:t>
      </w:r>
    </w:p>
    <w:p w:rsidR="00205BA8" w:rsidRPr="0033165D" w:rsidRDefault="00205BA8" w:rsidP="0033165D">
      <w:pPr>
        <w:pStyle w:val="ListParagraph"/>
        <w:numPr>
          <w:ilvl w:val="0"/>
          <w:numId w:val="2"/>
        </w:numPr>
        <w:rPr>
          <w:rFonts w:ascii="Book Antiqua" w:hAnsi="Book Antiqua"/>
          <w:szCs w:val="21"/>
        </w:rPr>
      </w:pPr>
      <w:r w:rsidRPr="0033165D">
        <w:rPr>
          <w:rFonts w:ascii="Book Antiqua" w:hAnsi="Book Antiqua"/>
          <w:szCs w:val="21"/>
        </w:rPr>
        <w:t>In any event the telephone recordings made did not follow the procedural codes for the interception of telephone calls. There were 145 files of intercept evidence each of which contained over 500 pages of transcribed recordings. These should be removed fro</w:t>
      </w:r>
      <w:r w:rsidR="00096A7A">
        <w:rPr>
          <w:rFonts w:ascii="Book Antiqua" w:hAnsi="Book Antiqua"/>
          <w:szCs w:val="21"/>
        </w:rPr>
        <w:t>m the files;</w:t>
      </w:r>
    </w:p>
    <w:p w:rsidR="00205BA8" w:rsidRPr="0033165D" w:rsidRDefault="00205BA8" w:rsidP="0033165D">
      <w:pPr>
        <w:pStyle w:val="ListParagraph"/>
        <w:numPr>
          <w:ilvl w:val="0"/>
          <w:numId w:val="2"/>
        </w:numPr>
        <w:rPr>
          <w:rFonts w:ascii="Book Antiqua" w:hAnsi="Book Antiqua"/>
          <w:szCs w:val="21"/>
        </w:rPr>
      </w:pPr>
      <w:r w:rsidRPr="0033165D">
        <w:rPr>
          <w:rFonts w:ascii="Book Antiqua" w:hAnsi="Book Antiqua"/>
          <w:szCs w:val="21"/>
        </w:rPr>
        <w:t>Personal conversations between lawyers and their wives were included which was a gross breach of privacy. The contents of the calls were irrelevant to the case and only included to exert emotional pressure on the D</w:t>
      </w:r>
      <w:r w:rsidR="00096A7A">
        <w:rPr>
          <w:rFonts w:ascii="Book Antiqua" w:hAnsi="Book Antiqua"/>
          <w:szCs w:val="21"/>
        </w:rPr>
        <w:t>efendants and to humiliate them;</w:t>
      </w:r>
      <w:r w:rsidRPr="0033165D">
        <w:rPr>
          <w:rFonts w:ascii="Book Antiqua" w:hAnsi="Book Antiqua"/>
          <w:szCs w:val="21"/>
        </w:rPr>
        <w:t xml:space="preserve"> </w:t>
      </w:r>
    </w:p>
    <w:p w:rsidR="00205BA8" w:rsidRPr="0033165D" w:rsidRDefault="00205BA8" w:rsidP="0033165D">
      <w:pPr>
        <w:pStyle w:val="ListParagraph"/>
        <w:numPr>
          <w:ilvl w:val="0"/>
          <w:numId w:val="2"/>
        </w:numPr>
        <w:rPr>
          <w:rFonts w:ascii="Book Antiqua" w:hAnsi="Book Antiqua"/>
          <w:szCs w:val="21"/>
        </w:rPr>
      </w:pPr>
      <w:r w:rsidRPr="0033165D">
        <w:rPr>
          <w:rFonts w:ascii="Book Antiqua" w:hAnsi="Book Antiqua"/>
          <w:szCs w:val="21"/>
        </w:rPr>
        <w:t>Where privileged conversations between two lawyers had been included without the consent of the other lawyer (in relation to whom no authority had been obtained) they should be removed</w:t>
      </w:r>
      <w:r w:rsidR="00096A7A">
        <w:rPr>
          <w:rFonts w:ascii="Book Antiqua" w:hAnsi="Book Antiqua"/>
          <w:szCs w:val="21"/>
        </w:rPr>
        <w:t>;</w:t>
      </w:r>
    </w:p>
    <w:p w:rsidR="00205BA8" w:rsidRPr="0033165D" w:rsidRDefault="00205BA8" w:rsidP="0033165D">
      <w:pPr>
        <w:pStyle w:val="ListParagraph"/>
        <w:numPr>
          <w:ilvl w:val="0"/>
          <w:numId w:val="2"/>
        </w:numPr>
        <w:rPr>
          <w:rFonts w:ascii="Book Antiqua" w:hAnsi="Book Antiqua"/>
          <w:szCs w:val="21"/>
        </w:rPr>
      </w:pPr>
      <w:r w:rsidRPr="0033165D">
        <w:rPr>
          <w:rFonts w:ascii="Book Antiqua" w:hAnsi="Book Antiqua"/>
          <w:szCs w:val="21"/>
        </w:rPr>
        <w:t>Many of the recordings were of conversations taking place outside the time period for which authority to record had been given in any event and these should be removed irrespective of any other arguments regarding admissibility</w:t>
      </w:r>
      <w:r w:rsidR="00096A7A">
        <w:rPr>
          <w:rFonts w:ascii="Book Antiqua" w:hAnsi="Book Antiqua"/>
          <w:szCs w:val="21"/>
        </w:rPr>
        <w:t>;</w:t>
      </w:r>
    </w:p>
    <w:p w:rsidR="00205BA8" w:rsidRPr="0033165D" w:rsidRDefault="00205BA8" w:rsidP="0033165D">
      <w:pPr>
        <w:pStyle w:val="ListParagraph"/>
        <w:numPr>
          <w:ilvl w:val="0"/>
          <w:numId w:val="2"/>
        </w:numPr>
        <w:rPr>
          <w:rFonts w:ascii="Book Antiqua" w:hAnsi="Book Antiqua"/>
          <w:szCs w:val="21"/>
        </w:rPr>
      </w:pPr>
      <w:r w:rsidRPr="0033165D">
        <w:rPr>
          <w:rFonts w:ascii="Book Antiqua" w:hAnsi="Book Antiqua"/>
          <w:szCs w:val="21"/>
        </w:rPr>
        <w:lastRenderedPageBreak/>
        <w:t>No reasons were given on the authorities obtained to record telephone conversations. This was a requirement when such a gross violation of privacy, human rights, and professional privilege was being approved. Any such authority should be given as a last re</w:t>
      </w:r>
      <w:r w:rsidR="00096A7A">
        <w:rPr>
          <w:rFonts w:ascii="Book Antiqua" w:hAnsi="Book Antiqua"/>
          <w:szCs w:val="21"/>
        </w:rPr>
        <w:t>sort and full reasons given;</w:t>
      </w:r>
    </w:p>
    <w:p w:rsidR="00FC1019" w:rsidRPr="0033165D" w:rsidRDefault="00205BA8" w:rsidP="0033165D">
      <w:pPr>
        <w:pStyle w:val="ListParagraph"/>
        <w:numPr>
          <w:ilvl w:val="0"/>
          <w:numId w:val="2"/>
        </w:numPr>
        <w:rPr>
          <w:rFonts w:ascii="Book Antiqua" w:hAnsi="Book Antiqua"/>
          <w:szCs w:val="21"/>
        </w:rPr>
      </w:pPr>
      <w:r w:rsidRPr="0033165D">
        <w:rPr>
          <w:rFonts w:ascii="Book Antiqua" w:hAnsi="Book Antiqua"/>
          <w:szCs w:val="21"/>
        </w:rPr>
        <w:t xml:space="preserve">“Technical” searches – using telephone signals to locate individual defendants, had been undertaken without any permission having been obtained from a judge and any evidence obtained in this fashion should be </w:t>
      </w:r>
      <w:r w:rsidR="00096A7A">
        <w:rPr>
          <w:rFonts w:ascii="Book Antiqua" w:hAnsi="Book Antiqua"/>
          <w:szCs w:val="21"/>
        </w:rPr>
        <w:t>inadmissible;</w:t>
      </w:r>
    </w:p>
    <w:p w:rsidR="00205BA8" w:rsidRPr="0033165D" w:rsidRDefault="0033165D" w:rsidP="0033165D">
      <w:pPr>
        <w:pStyle w:val="ListParagraph"/>
        <w:numPr>
          <w:ilvl w:val="0"/>
          <w:numId w:val="2"/>
        </w:numPr>
        <w:rPr>
          <w:rFonts w:ascii="Book Antiqua" w:hAnsi="Book Antiqua"/>
          <w:szCs w:val="21"/>
        </w:rPr>
      </w:pPr>
      <w:r w:rsidRPr="0033165D">
        <w:rPr>
          <w:rFonts w:ascii="Book Antiqua" w:hAnsi="Book Antiqua"/>
          <w:szCs w:val="21"/>
        </w:rPr>
        <w:t>After the Defendants had been taken into custody access to lawyers and evidence had been denied for long periods and unauthorised intimate samples of DNA had been taken. The taking of such samples, which were not relevant to the charges under consideration, was illegal</w:t>
      </w:r>
      <w:r w:rsidR="00096A7A">
        <w:rPr>
          <w:rFonts w:ascii="Book Antiqua" w:hAnsi="Book Antiqua"/>
          <w:szCs w:val="21"/>
        </w:rPr>
        <w:t>;</w:t>
      </w:r>
    </w:p>
    <w:p w:rsidR="0033165D" w:rsidRPr="0033165D" w:rsidRDefault="0033165D" w:rsidP="0033165D">
      <w:pPr>
        <w:pStyle w:val="ListParagraph"/>
        <w:numPr>
          <w:ilvl w:val="0"/>
          <w:numId w:val="2"/>
        </w:numPr>
        <w:rPr>
          <w:rFonts w:ascii="Book Antiqua" w:hAnsi="Book Antiqua"/>
          <w:szCs w:val="21"/>
        </w:rPr>
      </w:pPr>
      <w:r w:rsidRPr="0033165D">
        <w:rPr>
          <w:rFonts w:ascii="Book Antiqua" w:hAnsi="Book Antiqua"/>
          <w:szCs w:val="21"/>
        </w:rPr>
        <w:t>Searches had been undertaken of defendant’s offices and homes often in the early hours of the morning to cause maximum upset unnecessarily. Domestic searches have to be undertaken in the presence of another lawyer and this was not always respected. Much personal property was taken which was not relevant to the case. Often files were taken which related to other clients and when their return was requested they were handed over to the police so that privileged information was being given to the police rather than returned to the Defendants</w:t>
      </w:r>
      <w:r w:rsidR="00096A7A">
        <w:rPr>
          <w:rFonts w:ascii="Book Antiqua" w:hAnsi="Book Antiqua"/>
          <w:szCs w:val="21"/>
        </w:rPr>
        <w:t>; and</w:t>
      </w:r>
    </w:p>
    <w:p w:rsidR="0033165D" w:rsidRPr="0033165D" w:rsidRDefault="0033165D" w:rsidP="0033165D">
      <w:pPr>
        <w:pStyle w:val="ListParagraph"/>
        <w:numPr>
          <w:ilvl w:val="0"/>
          <w:numId w:val="2"/>
        </w:numPr>
        <w:rPr>
          <w:rFonts w:ascii="Book Antiqua" w:hAnsi="Book Antiqua"/>
          <w:szCs w:val="21"/>
        </w:rPr>
      </w:pPr>
      <w:r w:rsidRPr="0033165D">
        <w:rPr>
          <w:rFonts w:ascii="Book Antiqua" w:hAnsi="Book Antiqua"/>
          <w:szCs w:val="21"/>
        </w:rPr>
        <w:t xml:space="preserve">Much of the evidence in the case files relating to conferences which the Defendants may have </w:t>
      </w:r>
      <w:proofErr w:type="gramStart"/>
      <w:r w:rsidRPr="0033165D">
        <w:rPr>
          <w:rFonts w:ascii="Book Antiqua" w:hAnsi="Book Antiqua"/>
          <w:szCs w:val="21"/>
        </w:rPr>
        <w:t>attended,</w:t>
      </w:r>
      <w:proofErr w:type="gramEnd"/>
      <w:r w:rsidRPr="0033165D">
        <w:rPr>
          <w:rFonts w:ascii="Book Antiqua" w:hAnsi="Book Antiqua"/>
          <w:szCs w:val="21"/>
        </w:rPr>
        <w:t xml:space="preserve"> press coverage etc was entirely irrelevant to the charges and should be removed.  </w:t>
      </w:r>
    </w:p>
    <w:p w:rsidR="00FC1019" w:rsidRDefault="0033165D" w:rsidP="00FC1019">
      <w:pPr>
        <w:rPr>
          <w:rFonts w:ascii="Book Antiqua" w:hAnsi="Book Antiqua"/>
          <w:szCs w:val="21"/>
        </w:rPr>
      </w:pPr>
      <w:r>
        <w:rPr>
          <w:rFonts w:ascii="Book Antiqua" w:hAnsi="Book Antiqua"/>
          <w:szCs w:val="21"/>
        </w:rPr>
        <w:t>Mr Tahir ELCI then addressed the judges. Mr ELCI is the President of the Diyarbakir bar. He argued that the lawyers were not members of a terrorist group but were being punished for practicing as lawyers</w:t>
      </w:r>
      <w:r w:rsidR="005921E1">
        <w:rPr>
          <w:rFonts w:ascii="Book Antiqua" w:hAnsi="Book Antiqua"/>
          <w:szCs w:val="21"/>
        </w:rPr>
        <w:t xml:space="preserve">. There have been problems regarding the Kurdish issue for over thirty years in Turkey. The government had just confirmed that they are having negotiations with Ocalan. In these circumstances criminalising lawyers who have acted for him was a breach of their rights. Lawyers are the most important protectors of the democratic state. They should be free to practice without persecution. There were many provisions in the Turkish constitution which negated human rights. Lawyers were equal to the prosecutors. </w:t>
      </w:r>
    </w:p>
    <w:p w:rsidR="005921E1" w:rsidRPr="001E7710" w:rsidRDefault="005921E1" w:rsidP="00FC1019">
      <w:pPr>
        <w:rPr>
          <w:rFonts w:ascii="Book Antiqua" w:hAnsi="Book Antiqua"/>
          <w:szCs w:val="21"/>
        </w:rPr>
      </w:pPr>
      <w:r>
        <w:rPr>
          <w:rFonts w:ascii="Book Antiqua" w:hAnsi="Book Antiqua"/>
          <w:szCs w:val="21"/>
        </w:rPr>
        <w:t xml:space="preserve">Mr ELCI referred to a case that he and 15 other Kurdish lawyers took to the </w:t>
      </w:r>
      <w:proofErr w:type="spellStart"/>
      <w:r>
        <w:rPr>
          <w:rFonts w:ascii="Book Antiqua" w:hAnsi="Book Antiqua"/>
          <w:szCs w:val="21"/>
        </w:rPr>
        <w:t>EctHR</w:t>
      </w:r>
      <w:proofErr w:type="spellEnd"/>
      <w:r w:rsidR="00905E30">
        <w:rPr>
          <w:rStyle w:val="FootnoteReference"/>
          <w:rFonts w:ascii="Book Antiqua" w:hAnsi="Book Antiqua"/>
          <w:szCs w:val="21"/>
        </w:rPr>
        <w:footnoteReference w:id="1"/>
      </w:r>
      <w:r>
        <w:rPr>
          <w:rFonts w:ascii="Book Antiqua" w:hAnsi="Book Antiqua"/>
          <w:szCs w:val="21"/>
        </w:rPr>
        <w:t xml:space="preserve"> after they had been jailed and tortured for pursuing cases on behalf of applicants alleging gross violations of their rights in the 1990’s. They were in prison for six months and the </w:t>
      </w:r>
      <w:proofErr w:type="spellStart"/>
      <w:r>
        <w:rPr>
          <w:rFonts w:ascii="Book Antiqua" w:hAnsi="Book Antiqua"/>
          <w:szCs w:val="21"/>
        </w:rPr>
        <w:t>EctHR</w:t>
      </w:r>
      <w:proofErr w:type="spellEnd"/>
      <w:r>
        <w:rPr>
          <w:rFonts w:ascii="Book Antiqua" w:hAnsi="Book Antiqua"/>
          <w:szCs w:val="21"/>
        </w:rPr>
        <w:t xml:space="preserve"> found that their rights under Articles 3, </w:t>
      </w:r>
      <w:r w:rsidR="00706AE4">
        <w:rPr>
          <w:rFonts w:ascii="Book Antiqua" w:hAnsi="Book Antiqua"/>
          <w:szCs w:val="21"/>
        </w:rPr>
        <w:t>5.1</w:t>
      </w:r>
      <w:r>
        <w:rPr>
          <w:rFonts w:ascii="Book Antiqua" w:hAnsi="Book Antiqua"/>
          <w:szCs w:val="21"/>
        </w:rPr>
        <w:t xml:space="preserve"> and 8 had been violated. In this case the lawyers had spent an </w:t>
      </w:r>
      <w:r w:rsidR="00C62849">
        <w:rPr>
          <w:rFonts w:ascii="Book Antiqua" w:hAnsi="Book Antiqua"/>
          <w:szCs w:val="21"/>
        </w:rPr>
        <w:t>unacceptably long period in pre-</w:t>
      </w:r>
      <w:r>
        <w:rPr>
          <w:rFonts w:ascii="Book Antiqua" w:hAnsi="Book Antiqua"/>
          <w:szCs w:val="21"/>
        </w:rPr>
        <w:t>trial detention and their rights under Article</w:t>
      </w:r>
      <w:r w:rsidR="00975379">
        <w:rPr>
          <w:rFonts w:ascii="Book Antiqua" w:hAnsi="Book Antiqua"/>
          <w:szCs w:val="21"/>
        </w:rPr>
        <w:t xml:space="preserve"> 5 and</w:t>
      </w:r>
      <w:r>
        <w:rPr>
          <w:rFonts w:ascii="Book Antiqua" w:hAnsi="Book Antiqua"/>
          <w:szCs w:val="21"/>
        </w:rPr>
        <w:t xml:space="preserve"> 6 of the European Convention on Human Rights were being violated. Steps were being taken by the legislature </w:t>
      </w:r>
      <w:r w:rsidR="00C62849">
        <w:rPr>
          <w:rFonts w:ascii="Book Antiqua" w:hAnsi="Book Antiqua"/>
          <w:szCs w:val="21"/>
        </w:rPr>
        <w:t>in Turkey to try and reduce pre-</w:t>
      </w:r>
      <w:r>
        <w:rPr>
          <w:rFonts w:ascii="Book Antiqua" w:hAnsi="Book Antiqua"/>
          <w:szCs w:val="21"/>
        </w:rPr>
        <w:t xml:space="preserve">trial detention and the judges had to consider that. There was also no evidence to prove that the Defendants took </w:t>
      </w:r>
      <w:proofErr w:type="spellStart"/>
      <w:r>
        <w:rPr>
          <w:rFonts w:ascii="Book Antiqua" w:hAnsi="Book Antiqua"/>
          <w:szCs w:val="21"/>
        </w:rPr>
        <w:t>Ocalan’s</w:t>
      </w:r>
      <w:proofErr w:type="spellEnd"/>
      <w:r>
        <w:rPr>
          <w:rFonts w:ascii="Book Antiqua" w:hAnsi="Book Antiqua"/>
          <w:szCs w:val="21"/>
        </w:rPr>
        <w:t xml:space="preserve"> words to the PKK. The government speaks to Ocalan so why should his lawyers not speak to him. There were many decisions against Turkey at the European level. Many of the defendant’s </w:t>
      </w:r>
      <w:r>
        <w:rPr>
          <w:rFonts w:ascii="Book Antiqua" w:hAnsi="Book Antiqua"/>
          <w:szCs w:val="21"/>
        </w:rPr>
        <w:lastRenderedPageBreak/>
        <w:t xml:space="preserve">had come back to Turkey to face the charges and were therefore very unlikely to abscond. They should be released. </w:t>
      </w:r>
    </w:p>
    <w:p w:rsidR="00FC1019" w:rsidRDefault="00975379" w:rsidP="00FC1019">
      <w:pPr>
        <w:rPr>
          <w:rFonts w:ascii="Book Antiqua" w:hAnsi="Book Antiqua"/>
          <w:szCs w:val="21"/>
        </w:rPr>
      </w:pPr>
      <w:r>
        <w:rPr>
          <w:rFonts w:ascii="Book Antiqua" w:hAnsi="Book Antiqua"/>
          <w:szCs w:val="21"/>
        </w:rPr>
        <w:t>Mr ELCI</w:t>
      </w:r>
      <w:r w:rsidR="00096A7A">
        <w:rPr>
          <w:rFonts w:ascii="Book Antiqua" w:hAnsi="Book Antiqua"/>
          <w:szCs w:val="21"/>
        </w:rPr>
        <w:t xml:space="preserve"> was followed by the President of the </w:t>
      </w:r>
      <w:proofErr w:type="spellStart"/>
      <w:r w:rsidR="00096A7A">
        <w:rPr>
          <w:rFonts w:ascii="Book Antiqua" w:hAnsi="Book Antiqua"/>
          <w:szCs w:val="21"/>
        </w:rPr>
        <w:t>Ismir</w:t>
      </w:r>
      <w:proofErr w:type="spellEnd"/>
      <w:r w:rsidR="00096A7A">
        <w:rPr>
          <w:rFonts w:ascii="Book Antiqua" w:hAnsi="Book Antiqua"/>
          <w:szCs w:val="21"/>
        </w:rPr>
        <w:t xml:space="preserve"> bar association and 25 other representatives during the afternoon. </w:t>
      </w:r>
      <w:r w:rsidR="00CD5F2C">
        <w:rPr>
          <w:rFonts w:ascii="Book Antiqua" w:hAnsi="Book Antiqua"/>
          <w:szCs w:val="21"/>
        </w:rPr>
        <w:t xml:space="preserve">In this report I cannot summarise every submission but the themes followed those set out above. The Defendants who remain in custody have now spent over 400 days in custody. Many advocates pointed out that their clients had faced previous charges in relation to the same interviews with Ocalan but had been on bail during the trials and had been acquitted yet they were now detained pending the present trial whilst some of their colleagues had been granted bail. There appeared to be no logical reason why they had been discriminated against in this way. All of those lawyers who represented lawyers who remained in custody pleaded for their release. Many had come back from other countries (Iraq/Syria) to face the charges and were therefore more unlikely to abscond. No reasons had been given for the refusal to grant them bail. </w:t>
      </w:r>
    </w:p>
    <w:p w:rsidR="00CD5F2C" w:rsidRDefault="00CD5F2C" w:rsidP="00FC1019">
      <w:pPr>
        <w:rPr>
          <w:rFonts w:ascii="Book Antiqua" w:hAnsi="Book Antiqua"/>
          <w:szCs w:val="21"/>
        </w:rPr>
      </w:pPr>
      <w:r>
        <w:rPr>
          <w:rFonts w:ascii="Book Antiqua" w:hAnsi="Book Antiqua"/>
          <w:szCs w:val="21"/>
        </w:rPr>
        <w:t xml:space="preserve">Further representations were made with regard to the role of the police. In many of the </w:t>
      </w:r>
      <w:proofErr w:type="spellStart"/>
      <w:r>
        <w:rPr>
          <w:rFonts w:ascii="Book Antiqua" w:hAnsi="Book Antiqua"/>
          <w:szCs w:val="21"/>
        </w:rPr>
        <w:t>EC</w:t>
      </w:r>
      <w:r w:rsidR="00C62849">
        <w:rPr>
          <w:rFonts w:ascii="Book Antiqua" w:hAnsi="Book Antiqua"/>
          <w:szCs w:val="21"/>
        </w:rPr>
        <w:t>t</w:t>
      </w:r>
      <w:r>
        <w:rPr>
          <w:rFonts w:ascii="Book Antiqua" w:hAnsi="Book Antiqua"/>
          <w:szCs w:val="21"/>
        </w:rPr>
        <w:t>HR</w:t>
      </w:r>
      <w:proofErr w:type="spellEnd"/>
      <w:r>
        <w:rPr>
          <w:rFonts w:ascii="Book Antiqua" w:hAnsi="Book Antiqua"/>
          <w:szCs w:val="21"/>
        </w:rPr>
        <w:t xml:space="preserve"> cases historically, the Gendarmerie have been referred to as the “eyes and ears” of the prosecutor in Turkey. However in this case it appears that police statements on case files go much further in terms of giving statements of opinion with regard to the implications of the factual evidence assembled. Complaint was made by many advocates that the police are attempting to usurp the role of the judge in terms of deciding the guilt of the defendants. </w:t>
      </w:r>
    </w:p>
    <w:p w:rsidR="00920F56" w:rsidRDefault="00CD5F2C" w:rsidP="00FC1019">
      <w:pPr>
        <w:rPr>
          <w:rFonts w:ascii="Book Antiqua" w:hAnsi="Book Antiqua"/>
          <w:szCs w:val="21"/>
        </w:rPr>
      </w:pPr>
      <w:r>
        <w:rPr>
          <w:rFonts w:ascii="Book Antiqua" w:hAnsi="Book Antiqua"/>
          <w:szCs w:val="21"/>
        </w:rPr>
        <w:t xml:space="preserve">Others complained that the prosecution authorities had effectively made it an offence to represent Ocalan. One lawyer complained that after every interview with Ocalan the prosecutor had started an investigation. There had been over 100 such investigations which had led to many charges prior to the current trial, many involving some of the same defendants. </w:t>
      </w:r>
      <w:r w:rsidR="00920F56">
        <w:rPr>
          <w:rFonts w:ascii="Book Antiqua" w:hAnsi="Book Antiqua"/>
          <w:szCs w:val="21"/>
        </w:rPr>
        <w:t xml:space="preserve">There had been no convictions and prior to the present trial the defendants had not been held in custody. He suggested that the President of the current court had made rulings in previous cases that the recordings of the Ocalan interviews could not be used as evidence. What had changed? </w:t>
      </w:r>
    </w:p>
    <w:p w:rsidR="00255D91" w:rsidRDefault="00920F56" w:rsidP="00255D91">
      <w:pPr>
        <w:pStyle w:val="PlainText"/>
        <w:rPr>
          <w:rFonts w:ascii="Book Antiqua" w:hAnsi="Book Antiqua"/>
        </w:rPr>
      </w:pPr>
      <w:r>
        <w:rPr>
          <w:rFonts w:ascii="Book Antiqua" w:hAnsi="Book Antiqua"/>
        </w:rPr>
        <w:t xml:space="preserve">Since the judge had indicated throughout the day that the court would finish at 5pm many advocates complained that they had to rush their submissions, </w:t>
      </w:r>
      <w:r w:rsidR="00C62849">
        <w:rPr>
          <w:rFonts w:ascii="Book Antiqua" w:hAnsi="Book Antiqua"/>
        </w:rPr>
        <w:t>some</w:t>
      </w:r>
      <w:r>
        <w:rPr>
          <w:rFonts w:ascii="Book Antiqua" w:hAnsi="Book Antiqua"/>
        </w:rPr>
        <w:t xml:space="preserve"> having less than five minutes to put forward submissions towards the end of the hearing. The hearing concluded at 5.50pm with an adjournment before a decision was made. </w:t>
      </w:r>
    </w:p>
    <w:p w:rsidR="00920F56" w:rsidRDefault="00920F56" w:rsidP="00255D91">
      <w:pPr>
        <w:pStyle w:val="PlainText"/>
        <w:rPr>
          <w:rFonts w:ascii="Book Antiqua" w:hAnsi="Book Antiqua"/>
        </w:rPr>
      </w:pPr>
    </w:p>
    <w:p w:rsidR="00920F56" w:rsidRDefault="00C62849" w:rsidP="00255D91">
      <w:pPr>
        <w:pStyle w:val="PlainText"/>
        <w:rPr>
          <w:rFonts w:ascii="Book Antiqua" w:hAnsi="Book Antiqua"/>
        </w:rPr>
      </w:pPr>
      <w:r>
        <w:rPr>
          <w:rFonts w:ascii="Book Antiqua" w:hAnsi="Book Antiqua"/>
        </w:rPr>
        <w:t xml:space="preserve">The decision was announced at approximately 6.30pm. </w:t>
      </w:r>
      <w:r w:rsidR="00920F56">
        <w:rPr>
          <w:rFonts w:ascii="Book Antiqua" w:hAnsi="Book Antiqua"/>
        </w:rPr>
        <w:t>In effect all applications made to exclude evidence obtained illegally were dismissed. The trial was adjourned until 28</w:t>
      </w:r>
      <w:r w:rsidR="00920F56" w:rsidRPr="00975379">
        <w:rPr>
          <w:rFonts w:ascii="Book Antiqua" w:hAnsi="Book Antiqua"/>
        </w:rPr>
        <w:t>th</w:t>
      </w:r>
      <w:r w:rsidR="00920F56">
        <w:rPr>
          <w:rFonts w:ascii="Book Antiqua" w:hAnsi="Book Antiqua"/>
        </w:rPr>
        <w:t xml:space="preserve"> March 2013. Bail was renewed for those on bail, and one further prisoner was bailed (significantly this was </w:t>
      </w:r>
      <w:proofErr w:type="spellStart"/>
      <w:r w:rsidR="00920F56">
        <w:rPr>
          <w:rFonts w:ascii="Book Antiqua" w:hAnsi="Book Antiqua"/>
        </w:rPr>
        <w:t>Umit</w:t>
      </w:r>
      <w:proofErr w:type="spellEnd"/>
      <w:r w:rsidR="00920F56">
        <w:rPr>
          <w:rFonts w:ascii="Book Antiqua" w:hAnsi="Book Antiqua"/>
        </w:rPr>
        <w:t xml:space="preserve"> </w:t>
      </w:r>
      <w:r w:rsidR="00920F56" w:rsidRPr="00076F6C">
        <w:rPr>
          <w:rFonts w:ascii="Book Antiqua" w:hAnsi="Book Antiqua"/>
        </w:rPr>
        <w:t>SİSLİGÜN</w:t>
      </w:r>
      <w:r w:rsidR="00920F56">
        <w:rPr>
          <w:rFonts w:ascii="Book Antiqua" w:hAnsi="Book Antiqua"/>
        </w:rPr>
        <w:t xml:space="preserve">, the only defendant who was prepared to answer questions and make representations in Turkish). The remaining defendants were remanded in custody. </w:t>
      </w:r>
    </w:p>
    <w:p w:rsidR="00920F56" w:rsidRDefault="00920F56" w:rsidP="00255D91">
      <w:pPr>
        <w:pStyle w:val="PlainText"/>
        <w:rPr>
          <w:rFonts w:ascii="Book Antiqua" w:hAnsi="Book Antiqua"/>
        </w:rPr>
      </w:pPr>
    </w:p>
    <w:p w:rsidR="007C3C10" w:rsidRDefault="007C3C10" w:rsidP="00255D91">
      <w:pPr>
        <w:pStyle w:val="PlainText"/>
        <w:rPr>
          <w:rFonts w:ascii="Book Antiqua" w:hAnsi="Book Antiqua"/>
        </w:rPr>
      </w:pPr>
      <w:r>
        <w:rPr>
          <w:rFonts w:ascii="Book Antiqua" w:hAnsi="Book Antiqua"/>
        </w:rPr>
        <w:t xml:space="preserve">It should be noted that the Prosecutor, although present in court throughout, took no active part in the day’s </w:t>
      </w:r>
      <w:r w:rsidR="00FF651B">
        <w:rPr>
          <w:rFonts w:ascii="Book Antiqua" w:hAnsi="Book Antiqua"/>
        </w:rPr>
        <w:t xml:space="preserve">proceedings. </w:t>
      </w:r>
    </w:p>
    <w:p w:rsidR="00FF651B" w:rsidRDefault="00FF651B" w:rsidP="00255D91">
      <w:pPr>
        <w:pStyle w:val="PlainText"/>
        <w:rPr>
          <w:rFonts w:ascii="Book Antiqua" w:hAnsi="Book Antiqua"/>
        </w:rPr>
      </w:pPr>
    </w:p>
    <w:p w:rsidR="00FF651B" w:rsidRDefault="00FF651B">
      <w:pPr>
        <w:rPr>
          <w:rFonts w:ascii="Book Antiqua" w:hAnsi="Book Antiqua"/>
          <w:b/>
          <w:szCs w:val="21"/>
        </w:rPr>
      </w:pPr>
      <w:r>
        <w:rPr>
          <w:rFonts w:ascii="Book Antiqua" w:hAnsi="Book Antiqua"/>
          <w:b/>
        </w:rPr>
        <w:br w:type="page"/>
      </w:r>
    </w:p>
    <w:p w:rsidR="00920F56" w:rsidRPr="007C3C10" w:rsidRDefault="00920F56" w:rsidP="00255D91">
      <w:pPr>
        <w:pStyle w:val="PlainText"/>
        <w:rPr>
          <w:rFonts w:ascii="Book Antiqua" w:hAnsi="Book Antiqua"/>
          <w:b/>
        </w:rPr>
      </w:pPr>
      <w:r w:rsidRPr="007C3C10">
        <w:rPr>
          <w:rFonts w:ascii="Book Antiqua" w:hAnsi="Book Antiqua"/>
          <w:b/>
        </w:rPr>
        <w:lastRenderedPageBreak/>
        <w:t>Commentary</w:t>
      </w:r>
    </w:p>
    <w:p w:rsidR="00920F56" w:rsidRDefault="00920F56" w:rsidP="00255D91">
      <w:pPr>
        <w:pStyle w:val="PlainText"/>
        <w:rPr>
          <w:rFonts w:ascii="Book Antiqua" w:hAnsi="Book Antiqua"/>
        </w:rPr>
      </w:pPr>
    </w:p>
    <w:p w:rsidR="00706AE4" w:rsidRDefault="00C62849" w:rsidP="00255D91">
      <w:pPr>
        <w:pStyle w:val="PlainText"/>
        <w:rPr>
          <w:rFonts w:ascii="Book Antiqua" w:hAnsi="Book Antiqua"/>
        </w:rPr>
      </w:pPr>
      <w:r>
        <w:rPr>
          <w:rFonts w:ascii="Book Antiqua" w:hAnsi="Book Antiqua"/>
        </w:rPr>
        <w:t>Observations made on 3</w:t>
      </w:r>
      <w:r w:rsidRPr="00C62849">
        <w:rPr>
          <w:rFonts w:ascii="Book Antiqua" w:hAnsi="Book Antiqua"/>
          <w:vertAlign w:val="superscript"/>
        </w:rPr>
        <w:t>rd</w:t>
      </w:r>
      <w:r>
        <w:rPr>
          <w:rFonts w:ascii="Book Antiqua" w:hAnsi="Book Antiqua"/>
        </w:rPr>
        <w:t xml:space="preserve"> January</w:t>
      </w:r>
      <w:r w:rsidR="00706AE4">
        <w:rPr>
          <w:rFonts w:ascii="Book Antiqua" w:hAnsi="Book Antiqua"/>
        </w:rPr>
        <w:t>,</w:t>
      </w:r>
      <w:r>
        <w:rPr>
          <w:rFonts w:ascii="Book Antiqua" w:hAnsi="Book Antiqua"/>
        </w:rPr>
        <w:t xml:space="preserve"> and the interview on 2</w:t>
      </w:r>
      <w:r w:rsidRPr="00C62849">
        <w:rPr>
          <w:rFonts w:ascii="Book Antiqua" w:hAnsi="Book Antiqua"/>
          <w:vertAlign w:val="superscript"/>
        </w:rPr>
        <w:t>nd</w:t>
      </w:r>
      <w:r>
        <w:rPr>
          <w:rFonts w:ascii="Book Antiqua" w:hAnsi="Book Antiqua"/>
        </w:rPr>
        <w:t xml:space="preserve"> January</w:t>
      </w:r>
      <w:r w:rsidR="00706AE4">
        <w:rPr>
          <w:rFonts w:ascii="Book Antiqua" w:hAnsi="Book Antiqua"/>
        </w:rPr>
        <w:t>,</w:t>
      </w:r>
      <w:r>
        <w:rPr>
          <w:rFonts w:ascii="Book Antiqua" w:hAnsi="Book Antiqua"/>
        </w:rPr>
        <w:t xml:space="preserve"> highlight the highly unusual and political nature of this trial. Political and cultural issues are inextricably interwoven with legal issues, principles and procedures. All parties, including the prosecuting authorities, the defendant’s lawyers and the defendants themselves are contributing to the politicisation of the trial. The collective decision to refuse to co-operate with the trial process by the vast majority of the defendants unless they are allowed to speak in their mother tongue, whilst understandable, is </w:t>
      </w:r>
      <w:r w:rsidR="007C3C10">
        <w:rPr>
          <w:rFonts w:ascii="Book Antiqua" w:hAnsi="Book Antiqua"/>
        </w:rPr>
        <w:t>curious</w:t>
      </w:r>
      <w:r>
        <w:rPr>
          <w:rFonts w:ascii="Book Antiqua" w:hAnsi="Book Antiqua"/>
        </w:rPr>
        <w:t>. All of them conduct their day to day business in the courts as lawyers in Turkish, and all of the submissions made on their behalf at the trial have been in Turkish.  Whilst the stru</w:t>
      </w:r>
      <w:r w:rsidR="007C3C10">
        <w:rPr>
          <w:rFonts w:ascii="Book Antiqua" w:hAnsi="Book Antiqua"/>
        </w:rPr>
        <w:t>ggle to pursue respect for the Kurdish</w:t>
      </w:r>
      <w:r>
        <w:rPr>
          <w:rFonts w:ascii="Book Antiqua" w:hAnsi="Book Antiqua"/>
        </w:rPr>
        <w:t xml:space="preserve"> culture and language is of course a </w:t>
      </w:r>
      <w:r w:rsidR="00706AE4">
        <w:rPr>
          <w:rFonts w:ascii="Book Antiqua" w:hAnsi="Book Antiqua"/>
        </w:rPr>
        <w:t xml:space="preserve">very </w:t>
      </w:r>
      <w:r>
        <w:rPr>
          <w:rFonts w:ascii="Book Antiqua" w:hAnsi="Book Antiqua"/>
        </w:rPr>
        <w:t xml:space="preserve">legitimate struggle </w:t>
      </w:r>
      <w:r w:rsidR="007C3C10">
        <w:rPr>
          <w:rFonts w:ascii="Book Antiqua" w:hAnsi="Book Antiqua"/>
        </w:rPr>
        <w:t>there is a question</w:t>
      </w:r>
      <w:r w:rsidR="00706AE4">
        <w:rPr>
          <w:rFonts w:ascii="Book Antiqua" w:hAnsi="Book Antiqua"/>
        </w:rPr>
        <w:t xml:space="preserve"> mark over </w:t>
      </w:r>
      <w:r>
        <w:rPr>
          <w:rFonts w:ascii="Book Antiqua" w:hAnsi="Book Antiqua"/>
        </w:rPr>
        <w:t xml:space="preserve">whether </w:t>
      </w:r>
      <w:r w:rsidR="00706AE4">
        <w:rPr>
          <w:rFonts w:ascii="Book Antiqua" w:hAnsi="Book Antiqua"/>
        </w:rPr>
        <w:t xml:space="preserve">this struggle is best developed via this particular case. </w:t>
      </w:r>
      <w:r>
        <w:rPr>
          <w:rFonts w:ascii="Book Antiqua" w:hAnsi="Book Antiqua"/>
        </w:rPr>
        <w:t xml:space="preserve">That of course </w:t>
      </w:r>
      <w:r w:rsidR="007C3C10">
        <w:rPr>
          <w:rFonts w:ascii="Book Antiqua" w:hAnsi="Book Antiqua"/>
        </w:rPr>
        <w:t>is a matter to be dealt with between the defendants and their advisers.</w:t>
      </w:r>
      <w:r>
        <w:rPr>
          <w:rFonts w:ascii="Book Antiqua" w:hAnsi="Book Antiqua"/>
        </w:rPr>
        <w:t xml:space="preserve"> However in some ways it detracts from the other issues in the trial.</w:t>
      </w:r>
    </w:p>
    <w:p w:rsidR="00706AE4" w:rsidRDefault="00706AE4" w:rsidP="00255D91">
      <w:pPr>
        <w:pStyle w:val="PlainText"/>
        <w:rPr>
          <w:rFonts w:ascii="Book Antiqua" w:hAnsi="Book Antiqua"/>
        </w:rPr>
      </w:pPr>
    </w:p>
    <w:p w:rsidR="00FF651B" w:rsidRDefault="00706AE4" w:rsidP="007C3C10">
      <w:pPr>
        <w:pStyle w:val="PlainText"/>
        <w:rPr>
          <w:rFonts w:ascii="Book Antiqua" w:hAnsi="Book Antiqua"/>
        </w:rPr>
      </w:pPr>
      <w:r>
        <w:rPr>
          <w:rFonts w:ascii="Book Antiqua" w:hAnsi="Book Antiqua"/>
        </w:rPr>
        <w:t xml:space="preserve">What has become clear </w:t>
      </w:r>
      <w:r w:rsidR="00FA008D">
        <w:rPr>
          <w:rFonts w:ascii="Book Antiqua" w:hAnsi="Book Antiqua"/>
        </w:rPr>
        <w:t xml:space="preserve">however </w:t>
      </w:r>
      <w:r w:rsidR="00FF651B">
        <w:rPr>
          <w:rFonts w:ascii="Book Antiqua" w:hAnsi="Book Antiqua"/>
        </w:rPr>
        <w:t>(</w:t>
      </w:r>
      <w:r>
        <w:rPr>
          <w:rFonts w:ascii="Book Antiqua" w:hAnsi="Book Antiqua"/>
        </w:rPr>
        <w:t>now that further detail is available concerning the activities of the Turkish prosecuting authorities</w:t>
      </w:r>
      <w:r w:rsidR="00FF651B">
        <w:rPr>
          <w:rFonts w:ascii="Book Antiqua" w:hAnsi="Book Antiqua"/>
        </w:rPr>
        <w:t>)</w:t>
      </w:r>
      <w:r>
        <w:rPr>
          <w:rFonts w:ascii="Book Antiqua" w:hAnsi="Book Antiqua"/>
        </w:rPr>
        <w:t xml:space="preserve"> is that there are many aspects of the case which should be of considerable concern to the international legal community. The methods used to secure evidence in support of the charges against the lawyers raise very significant issues</w:t>
      </w:r>
      <w:r w:rsidR="00FF651B">
        <w:rPr>
          <w:rFonts w:ascii="Book Antiqua" w:hAnsi="Book Antiqua"/>
        </w:rPr>
        <w:t>:</w:t>
      </w:r>
    </w:p>
    <w:p w:rsidR="00FF651B" w:rsidRDefault="00FF651B" w:rsidP="007C3C10">
      <w:pPr>
        <w:pStyle w:val="PlainText"/>
        <w:rPr>
          <w:rFonts w:ascii="Book Antiqua" w:hAnsi="Book Antiqua"/>
        </w:rPr>
      </w:pPr>
    </w:p>
    <w:p w:rsidR="00FF651B" w:rsidRDefault="00706AE4" w:rsidP="00FF651B">
      <w:pPr>
        <w:pStyle w:val="PlainText"/>
        <w:numPr>
          <w:ilvl w:val="0"/>
          <w:numId w:val="3"/>
        </w:numPr>
        <w:rPr>
          <w:rFonts w:ascii="Book Antiqua" w:hAnsi="Book Antiqua"/>
        </w:rPr>
      </w:pPr>
      <w:r>
        <w:rPr>
          <w:rFonts w:ascii="Book Antiqua" w:hAnsi="Book Antiqua"/>
        </w:rPr>
        <w:t>under article</w:t>
      </w:r>
      <w:r w:rsidR="00FF651B">
        <w:rPr>
          <w:rFonts w:ascii="Book Antiqua" w:hAnsi="Book Antiqua"/>
        </w:rPr>
        <w:t>s 5,</w:t>
      </w:r>
      <w:r>
        <w:rPr>
          <w:rFonts w:ascii="Book Antiqua" w:hAnsi="Book Antiqua"/>
        </w:rPr>
        <w:t xml:space="preserve"> 6 </w:t>
      </w:r>
      <w:r w:rsidR="00FF651B">
        <w:rPr>
          <w:rFonts w:ascii="Book Antiqua" w:hAnsi="Book Antiqua"/>
        </w:rPr>
        <w:t xml:space="preserve"> and 8 </w:t>
      </w:r>
      <w:r>
        <w:rPr>
          <w:rFonts w:ascii="Book Antiqua" w:hAnsi="Book Antiqua"/>
        </w:rPr>
        <w:t>of ECHR, (</w:t>
      </w:r>
      <w:r w:rsidR="007C3C10">
        <w:rPr>
          <w:rFonts w:ascii="Book Antiqua" w:hAnsi="Book Antiqua"/>
        </w:rPr>
        <w:t xml:space="preserve">both in relation to the defendants themselves and </w:t>
      </w:r>
      <w:r>
        <w:rPr>
          <w:rFonts w:ascii="Book Antiqua" w:hAnsi="Book Antiqua"/>
        </w:rPr>
        <w:t>in relation to the breach of confidentiality of other clients of the accused lawyers)</w:t>
      </w:r>
      <w:r w:rsidR="00FF651B">
        <w:rPr>
          <w:rFonts w:ascii="Book Antiqua" w:hAnsi="Book Antiqua"/>
        </w:rPr>
        <w:t>; and</w:t>
      </w:r>
    </w:p>
    <w:p w:rsidR="00FF651B" w:rsidRDefault="00FF651B" w:rsidP="00FF651B">
      <w:pPr>
        <w:pStyle w:val="PlainText"/>
        <w:numPr>
          <w:ilvl w:val="0"/>
          <w:numId w:val="3"/>
        </w:numPr>
        <w:rPr>
          <w:rFonts w:ascii="Book Antiqua" w:hAnsi="Book Antiqua"/>
        </w:rPr>
      </w:pPr>
      <w:proofErr w:type="gramStart"/>
      <w:r>
        <w:rPr>
          <w:rFonts w:ascii="Book Antiqua" w:hAnsi="Book Antiqua"/>
        </w:rPr>
        <w:t>under</w:t>
      </w:r>
      <w:proofErr w:type="gramEnd"/>
      <w:r>
        <w:rPr>
          <w:rFonts w:ascii="Book Antiqua" w:hAnsi="Book Antiqua"/>
        </w:rPr>
        <w:t xml:space="preserve"> </w:t>
      </w:r>
      <w:r w:rsidR="00706AE4">
        <w:rPr>
          <w:rFonts w:ascii="Book Antiqua" w:hAnsi="Book Antiqua"/>
        </w:rPr>
        <w:t xml:space="preserve">article 8 (in relation to the </w:t>
      </w:r>
      <w:r>
        <w:rPr>
          <w:rFonts w:ascii="Book Antiqua" w:hAnsi="Book Antiqua"/>
        </w:rPr>
        <w:t xml:space="preserve">issues which the </w:t>
      </w:r>
      <w:r w:rsidR="00706AE4">
        <w:rPr>
          <w:rFonts w:ascii="Book Antiqua" w:hAnsi="Book Antiqua"/>
        </w:rPr>
        <w:t xml:space="preserve">invasion of family life </w:t>
      </w:r>
      <w:r>
        <w:rPr>
          <w:rFonts w:ascii="Book Antiqua" w:hAnsi="Book Antiqua"/>
        </w:rPr>
        <w:t xml:space="preserve">resulting from </w:t>
      </w:r>
      <w:r w:rsidR="00706AE4">
        <w:rPr>
          <w:rFonts w:ascii="Book Antiqua" w:hAnsi="Book Antiqua"/>
        </w:rPr>
        <w:t xml:space="preserve">searches of the defendants homes and intercepts of their private conversations with their </w:t>
      </w:r>
      <w:r w:rsidR="007C3C10">
        <w:rPr>
          <w:rFonts w:ascii="Book Antiqua" w:hAnsi="Book Antiqua"/>
        </w:rPr>
        <w:t>families raise).</w:t>
      </w:r>
    </w:p>
    <w:p w:rsidR="00FF651B" w:rsidRDefault="00FF651B" w:rsidP="007C3C10">
      <w:pPr>
        <w:pStyle w:val="PlainText"/>
        <w:rPr>
          <w:rFonts w:ascii="Book Antiqua" w:hAnsi="Book Antiqua"/>
        </w:rPr>
      </w:pPr>
    </w:p>
    <w:p w:rsidR="00FA008D" w:rsidRDefault="00FA008D" w:rsidP="00FA008D">
      <w:pPr>
        <w:rPr>
          <w:rFonts w:ascii="Book Antiqua" w:hAnsi="Book Antiqua"/>
          <w:szCs w:val="21"/>
        </w:rPr>
      </w:pPr>
      <w:r>
        <w:rPr>
          <w:rFonts w:ascii="Book Antiqua" w:hAnsi="Book Antiqua"/>
          <w:szCs w:val="21"/>
        </w:rPr>
        <w:t>Perhaps more fundamental to the role of the lawyers who are charged with these offences are the apparently clear breaches of the United Nations Basic Principles on the Role of Lawyers adopted in 1990. These provide various guarantees for the functioning of lawyers the relevant sections of which are set out below:-</w:t>
      </w:r>
    </w:p>
    <w:p w:rsidR="00FA008D" w:rsidRPr="00FA008D" w:rsidRDefault="00FA008D" w:rsidP="00FA008D">
      <w:pPr>
        <w:pStyle w:val="NormalWeb"/>
        <w:ind w:left="720"/>
        <w:rPr>
          <w:rFonts w:ascii="Book Antiqua" w:eastAsiaTheme="minorHAnsi" w:hAnsi="Book Antiqua" w:cstheme="minorBidi"/>
          <w:sz w:val="20"/>
          <w:szCs w:val="20"/>
          <w:lang w:eastAsia="en-US"/>
        </w:rPr>
      </w:pPr>
      <w:r>
        <w:rPr>
          <w:rFonts w:ascii="Book Antiqua" w:eastAsiaTheme="minorHAnsi" w:hAnsi="Book Antiqua" w:cstheme="minorBidi"/>
          <w:sz w:val="20"/>
          <w:szCs w:val="20"/>
          <w:lang w:eastAsia="en-US"/>
        </w:rPr>
        <w:t>“</w:t>
      </w:r>
      <w:r w:rsidRPr="00FA008D">
        <w:rPr>
          <w:rFonts w:ascii="Book Antiqua" w:eastAsiaTheme="minorHAnsi" w:hAnsi="Book Antiqua" w:cstheme="minorBidi"/>
          <w:sz w:val="20"/>
          <w:szCs w:val="20"/>
          <w:lang w:eastAsia="en-US"/>
        </w:rPr>
        <w:t xml:space="preserve">Guarantees for the functioning of lawyers </w:t>
      </w:r>
    </w:p>
    <w:p w:rsidR="00FA008D" w:rsidRPr="00FA008D" w:rsidRDefault="00FA008D" w:rsidP="00FA008D">
      <w:pPr>
        <w:pStyle w:val="NormalWeb"/>
        <w:ind w:left="720"/>
        <w:rPr>
          <w:rFonts w:ascii="Book Antiqua" w:eastAsiaTheme="minorHAnsi" w:hAnsi="Book Antiqua" w:cstheme="minorBidi"/>
          <w:sz w:val="20"/>
          <w:szCs w:val="20"/>
          <w:lang w:eastAsia="en-US"/>
        </w:rPr>
      </w:pPr>
      <w:bookmarkStart w:id="1" w:name="wp1020972"/>
      <w:bookmarkEnd w:id="1"/>
      <w:r w:rsidRPr="00FA008D">
        <w:rPr>
          <w:rFonts w:ascii="Book Antiqua" w:eastAsiaTheme="minorHAnsi" w:hAnsi="Book Antiqua" w:cstheme="minorBidi"/>
          <w:sz w:val="20"/>
          <w:szCs w:val="20"/>
          <w:lang w:eastAsia="en-US"/>
        </w:rPr>
        <w:t xml:space="preserve">16. Governments shall ensure that lawyers </w:t>
      </w:r>
      <w:proofErr w:type="gramStart"/>
      <w:r w:rsidRPr="00FA008D">
        <w:rPr>
          <w:rFonts w:ascii="Book Antiqua" w:eastAsiaTheme="minorHAnsi" w:hAnsi="Book Antiqua" w:cstheme="minorBidi"/>
          <w:sz w:val="20"/>
          <w:szCs w:val="20"/>
          <w:lang w:eastAsia="en-US"/>
        </w:rPr>
        <w:t>( a</w:t>
      </w:r>
      <w:proofErr w:type="gramEnd"/>
      <w:r w:rsidRPr="00FA008D">
        <w:rPr>
          <w:rFonts w:ascii="Book Antiqua" w:eastAsiaTheme="minorHAnsi" w:hAnsi="Book Antiqua" w:cstheme="minorBidi"/>
          <w:sz w:val="20"/>
          <w:szCs w:val="20"/>
          <w:lang w:eastAsia="en-US"/>
        </w:rPr>
        <w:t xml:space="preserve"> ) are able to perform all of their professional functions without intimidation, hindrance, harassment or improper interference; ( b ) are able to travel and to consult with their clients freely both within their own country and abroad; and ( c ) shall not suffer, or be threatened with, prosecution or administrative, economic or other sanctions for any action taken in accordance with recognized professional duties, standards and ethics. </w:t>
      </w:r>
    </w:p>
    <w:p w:rsidR="00FA008D" w:rsidRPr="00FA008D" w:rsidRDefault="00FA008D" w:rsidP="00FA008D">
      <w:pPr>
        <w:pStyle w:val="NormalWeb"/>
        <w:ind w:left="720"/>
        <w:rPr>
          <w:rFonts w:ascii="Book Antiqua" w:eastAsiaTheme="minorHAnsi" w:hAnsi="Book Antiqua" w:cstheme="minorBidi"/>
          <w:sz w:val="20"/>
          <w:szCs w:val="20"/>
          <w:lang w:eastAsia="en-US"/>
        </w:rPr>
      </w:pPr>
      <w:bookmarkStart w:id="2" w:name="wp1020973"/>
      <w:bookmarkEnd w:id="2"/>
      <w:r w:rsidRPr="00FA008D">
        <w:rPr>
          <w:rFonts w:ascii="Book Antiqua" w:eastAsiaTheme="minorHAnsi" w:hAnsi="Book Antiqua" w:cstheme="minorBidi"/>
          <w:sz w:val="20"/>
          <w:szCs w:val="20"/>
          <w:lang w:eastAsia="en-US"/>
        </w:rPr>
        <w:t xml:space="preserve">17. Where the security of lawyers is threatened as a result of discharging their functions, they shall be adequately safeguarded by the authorities. </w:t>
      </w:r>
    </w:p>
    <w:p w:rsidR="00FA008D" w:rsidRPr="00FA008D" w:rsidRDefault="00FA008D" w:rsidP="00FA008D">
      <w:pPr>
        <w:pStyle w:val="NormalWeb"/>
        <w:ind w:left="720"/>
        <w:rPr>
          <w:rFonts w:ascii="Book Antiqua" w:eastAsiaTheme="minorHAnsi" w:hAnsi="Book Antiqua" w:cstheme="minorBidi"/>
          <w:b/>
          <w:sz w:val="20"/>
          <w:szCs w:val="20"/>
          <w:lang w:eastAsia="en-US"/>
        </w:rPr>
      </w:pPr>
      <w:bookmarkStart w:id="3" w:name="wp1020974"/>
      <w:bookmarkEnd w:id="3"/>
      <w:r w:rsidRPr="00FA008D">
        <w:rPr>
          <w:rFonts w:ascii="Book Antiqua" w:eastAsiaTheme="minorHAnsi" w:hAnsi="Book Antiqua" w:cstheme="minorBidi"/>
          <w:b/>
          <w:sz w:val="20"/>
          <w:szCs w:val="20"/>
          <w:lang w:eastAsia="en-US"/>
        </w:rPr>
        <w:t xml:space="preserve">18. Lawyers shall not be identified with their clients or their clients' causes as a result of discharging their functions. </w:t>
      </w:r>
    </w:p>
    <w:p w:rsidR="00FA008D" w:rsidRPr="00FA008D" w:rsidRDefault="00FA008D" w:rsidP="00FA008D">
      <w:pPr>
        <w:pStyle w:val="NormalWeb"/>
        <w:ind w:left="720"/>
        <w:rPr>
          <w:rFonts w:ascii="Book Antiqua" w:eastAsiaTheme="minorHAnsi" w:hAnsi="Book Antiqua" w:cstheme="minorBidi"/>
          <w:sz w:val="20"/>
          <w:szCs w:val="20"/>
          <w:lang w:eastAsia="en-US"/>
        </w:rPr>
      </w:pPr>
      <w:bookmarkStart w:id="4" w:name="wp1020975"/>
      <w:bookmarkStart w:id="5" w:name="wp1020976"/>
      <w:bookmarkStart w:id="6" w:name="wp1020977"/>
      <w:bookmarkStart w:id="7" w:name="wp1020978"/>
      <w:bookmarkEnd w:id="4"/>
      <w:bookmarkEnd w:id="5"/>
      <w:bookmarkEnd w:id="6"/>
      <w:bookmarkEnd w:id="7"/>
      <w:r w:rsidRPr="00FA008D">
        <w:rPr>
          <w:rFonts w:ascii="Book Antiqua" w:eastAsiaTheme="minorHAnsi" w:hAnsi="Book Antiqua" w:cstheme="minorBidi"/>
          <w:b/>
          <w:sz w:val="20"/>
          <w:szCs w:val="20"/>
          <w:lang w:eastAsia="en-US"/>
        </w:rPr>
        <w:lastRenderedPageBreak/>
        <w:t xml:space="preserve">22. Governments shall recognize and respect that all communications and consultations between lawyers and their clients within their professional relationship are confidential. </w:t>
      </w:r>
      <w:r>
        <w:rPr>
          <w:rFonts w:ascii="Book Antiqua" w:eastAsiaTheme="minorHAnsi" w:hAnsi="Book Antiqua" w:cstheme="minorBidi"/>
          <w:sz w:val="20"/>
          <w:szCs w:val="20"/>
          <w:lang w:eastAsia="en-US"/>
        </w:rPr>
        <w:t>“ (Emphasis added)</w:t>
      </w:r>
    </w:p>
    <w:p w:rsidR="00FA008D" w:rsidRDefault="00FA008D" w:rsidP="007C3C10">
      <w:pPr>
        <w:pStyle w:val="PlainText"/>
        <w:rPr>
          <w:rFonts w:ascii="Book Antiqua" w:hAnsi="Book Antiqua"/>
        </w:rPr>
      </w:pPr>
    </w:p>
    <w:p w:rsidR="007C3C10" w:rsidRDefault="007C3C10" w:rsidP="005252EA">
      <w:pPr>
        <w:rPr>
          <w:rFonts w:ascii="Book Antiqua" w:hAnsi="Book Antiqua"/>
          <w:szCs w:val="21"/>
        </w:rPr>
      </w:pPr>
      <w:r w:rsidRPr="005252EA">
        <w:rPr>
          <w:rFonts w:ascii="Book Antiqua" w:hAnsi="Book Antiqua"/>
          <w:szCs w:val="21"/>
        </w:rPr>
        <w:t xml:space="preserve">There are also substantial issues surrounding breaches of domestic law for failing to obtain appropriate </w:t>
      </w:r>
      <w:r w:rsidR="00FA008D">
        <w:rPr>
          <w:rFonts w:ascii="Book Antiqua" w:hAnsi="Book Antiqua"/>
          <w:szCs w:val="21"/>
        </w:rPr>
        <w:t>judicial orders</w:t>
      </w:r>
      <w:r w:rsidRPr="005252EA">
        <w:rPr>
          <w:rFonts w:ascii="Book Antiqua" w:hAnsi="Book Antiqua"/>
          <w:szCs w:val="21"/>
        </w:rPr>
        <w:t xml:space="preserve"> to intercept communications, failing to respect the boundaries of the </w:t>
      </w:r>
      <w:r w:rsidR="00FA008D">
        <w:rPr>
          <w:rFonts w:ascii="Book Antiqua" w:hAnsi="Book Antiqua"/>
          <w:szCs w:val="21"/>
        </w:rPr>
        <w:t>orders</w:t>
      </w:r>
      <w:r w:rsidRPr="005252EA">
        <w:rPr>
          <w:rFonts w:ascii="Book Antiqua" w:hAnsi="Book Antiqua"/>
          <w:szCs w:val="21"/>
        </w:rPr>
        <w:t xml:space="preserve"> which were obtained, and also concerning the probity of those </w:t>
      </w:r>
      <w:r w:rsidR="00FA008D">
        <w:rPr>
          <w:rFonts w:ascii="Book Antiqua" w:hAnsi="Book Antiqua"/>
          <w:szCs w:val="21"/>
        </w:rPr>
        <w:t>orders</w:t>
      </w:r>
      <w:r w:rsidRPr="005252EA">
        <w:rPr>
          <w:rFonts w:ascii="Book Antiqua" w:hAnsi="Book Antiqua"/>
          <w:szCs w:val="21"/>
        </w:rPr>
        <w:t xml:space="preserve"> being </w:t>
      </w:r>
      <w:r w:rsidR="00FA008D">
        <w:rPr>
          <w:rFonts w:ascii="Book Antiqua" w:hAnsi="Book Antiqua"/>
          <w:szCs w:val="21"/>
        </w:rPr>
        <w:t>made anyway</w:t>
      </w:r>
      <w:r w:rsidRPr="005252EA">
        <w:rPr>
          <w:rFonts w:ascii="Book Antiqua" w:hAnsi="Book Antiqua"/>
          <w:szCs w:val="21"/>
        </w:rPr>
        <w:t xml:space="preserve">. There is also the question of the length of pre-trial detention of all the defendants who are not on bail which now seems excessive. </w:t>
      </w:r>
    </w:p>
    <w:p w:rsidR="007C3C10" w:rsidRDefault="007C3C10" w:rsidP="007C3C10">
      <w:pPr>
        <w:pStyle w:val="PlainText"/>
        <w:rPr>
          <w:rFonts w:ascii="Book Antiqua" w:hAnsi="Book Antiqua"/>
        </w:rPr>
      </w:pPr>
      <w:r>
        <w:rPr>
          <w:rFonts w:ascii="Book Antiqua" w:hAnsi="Book Antiqua"/>
        </w:rPr>
        <w:t xml:space="preserve">All of these issues should be investigated and further monitoring of the trial should take place. </w:t>
      </w:r>
    </w:p>
    <w:p w:rsidR="00706AE4" w:rsidRDefault="00706AE4" w:rsidP="00255D91">
      <w:pPr>
        <w:pStyle w:val="PlainText"/>
        <w:rPr>
          <w:rFonts w:ascii="Book Antiqua" w:hAnsi="Book Antiqua"/>
        </w:rPr>
      </w:pPr>
    </w:p>
    <w:p w:rsidR="00706AE4" w:rsidRDefault="007C3C10" w:rsidP="00255D91">
      <w:pPr>
        <w:pStyle w:val="PlainText"/>
        <w:rPr>
          <w:rFonts w:ascii="Book Antiqua" w:hAnsi="Book Antiqua"/>
        </w:rPr>
      </w:pPr>
      <w:r>
        <w:rPr>
          <w:rFonts w:ascii="Book Antiqua" w:hAnsi="Book Antiqua"/>
        </w:rPr>
        <w:t>The trial resumes on 28</w:t>
      </w:r>
      <w:r w:rsidRPr="007C3C10">
        <w:rPr>
          <w:rFonts w:ascii="Book Antiqua" w:hAnsi="Book Antiqua"/>
          <w:vertAlign w:val="superscript"/>
        </w:rPr>
        <w:t>th</w:t>
      </w:r>
      <w:r>
        <w:rPr>
          <w:rFonts w:ascii="Book Antiqua" w:hAnsi="Book Antiqua"/>
        </w:rPr>
        <w:t xml:space="preserve"> March 2012</w:t>
      </w:r>
    </w:p>
    <w:p w:rsidR="00C62849" w:rsidRDefault="00C62849" w:rsidP="00255D91">
      <w:pPr>
        <w:pStyle w:val="PlainText"/>
        <w:rPr>
          <w:rFonts w:ascii="Book Antiqua" w:hAnsi="Book Antiqua"/>
        </w:rPr>
      </w:pPr>
      <w:r>
        <w:rPr>
          <w:rFonts w:ascii="Book Antiqua" w:hAnsi="Book Antiqua"/>
        </w:rPr>
        <w:t xml:space="preserve"> </w:t>
      </w:r>
    </w:p>
    <w:p w:rsidR="00C62849" w:rsidRDefault="00C62849" w:rsidP="00255D91">
      <w:pPr>
        <w:pStyle w:val="PlainText"/>
        <w:rPr>
          <w:rFonts w:ascii="Book Antiqua" w:hAnsi="Book Antiqua"/>
        </w:rPr>
      </w:pPr>
    </w:p>
    <w:p w:rsidR="00255D91" w:rsidRDefault="00255D91" w:rsidP="00255D91">
      <w:pPr>
        <w:pStyle w:val="PlainText"/>
        <w:rPr>
          <w:rFonts w:ascii="Book Antiqua" w:hAnsi="Book Antiqua"/>
          <w:b/>
        </w:rPr>
      </w:pPr>
      <w:r w:rsidRPr="00255D91">
        <w:rPr>
          <w:rFonts w:ascii="Book Antiqua" w:hAnsi="Book Antiqua"/>
          <w:b/>
        </w:rPr>
        <w:t>Tony Fisher</w:t>
      </w:r>
    </w:p>
    <w:p w:rsidR="00656CF8" w:rsidRDefault="00656CF8" w:rsidP="00255D91">
      <w:pPr>
        <w:pStyle w:val="PlainText"/>
        <w:rPr>
          <w:rFonts w:ascii="Book Antiqua" w:hAnsi="Book Antiqua"/>
          <w:b/>
        </w:rPr>
      </w:pPr>
      <w:r>
        <w:rPr>
          <w:rFonts w:ascii="Book Antiqua" w:hAnsi="Book Antiqua"/>
          <w:b/>
        </w:rPr>
        <w:t>Human Rights Committee</w:t>
      </w:r>
    </w:p>
    <w:p w:rsidR="00656CF8" w:rsidRPr="00255D91" w:rsidRDefault="00656CF8" w:rsidP="00255D91">
      <w:pPr>
        <w:pStyle w:val="PlainText"/>
        <w:rPr>
          <w:rFonts w:ascii="Book Antiqua" w:hAnsi="Book Antiqua"/>
          <w:b/>
        </w:rPr>
      </w:pPr>
      <w:r>
        <w:rPr>
          <w:rFonts w:ascii="Book Antiqua" w:hAnsi="Book Antiqua"/>
          <w:b/>
        </w:rPr>
        <w:t>Law Society of England and Wales</w:t>
      </w:r>
    </w:p>
    <w:p w:rsidR="00255D91" w:rsidRPr="00255D91" w:rsidRDefault="00FA008D" w:rsidP="00255D91">
      <w:pPr>
        <w:pStyle w:val="PlainText"/>
        <w:rPr>
          <w:rFonts w:ascii="Book Antiqua" w:hAnsi="Book Antiqua"/>
          <w:b/>
        </w:rPr>
      </w:pPr>
      <w:r>
        <w:rPr>
          <w:rFonts w:ascii="Book Antiqua" w:hAnsi="Book Antiqua"/>
          <w:b/>
        </w:rPr>
        <w:t>6</w:t>
      </w:r>
      <w:r w:rsidR="007C3C10" w:rsidRPr="007C3C10">
        <w:rPr>
          <w:rFonts w:ascii="Book Antiqua" w:hAnsi="Book Antiqua"/>
          <w:b/>
          <w:vertAlign w:val="superscript"/>
        </w:rPr>
        <w:t>th</w:t>
      </w:r>
      <w:r w:rsidR="007C3C10">
        <w:rPr>
          <w:rFonts w:ascii="Book Antiqua" w:hAnsi="Book Antiqua"/>
          <w:b/>
        </w:rPr>
        <w:t xml:space="preserve"> January 2013</w:t>
      </w:r>
    </w:p>
    <w:p w:rsidR="00D76DA4" w:rsidRPr="00255D91" w:rsidRDefault="00D76DA4">
      <w:pPr>
        <w:rPr>
          <w:rFonts w:ascii="Book Antiqua" w:hAnsi="Book Antiqua"/>
          <w:b/>
        </w:rPr>
      </w:pPr>
    </w:p>
    <w:sectPr w:rsidR="00D76DA4" w:rsidRPr="00255D91" w:rsidSect="009C22F5">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AEF" w:rsidRDefault="000B6AEF" w:rsidP="00F73336">
      <w:pPr>
        <w:spacing w:after="0" w:line="240" w:lineRule="auto"/>
      </w:pPr>
      <w:r>
        <w:separator/>
      </w:r>
    </w:p>
  </w:endnote>
  <w:endnote w:type="continuationSeparator" w:id="0">
    <w:p w:rsidR="000B6AEF" w:rsidRDefault="000B6AEF" w:rsidP="00F73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25884"/>
      <w:docPartObj>
        <w:docPartGallery w:val="Page Numbers (Bottom of Page)"/>
        <w:docPartUnique/>
      </w:docPartObj>
    </w:sdtPr>
    <w:sdtEndPr>
      <w:rPr>
        <w:color w:val="808080" w:themeColor="background1" w:themeShade="80"/>
        <w:spacing w:val="60"/>
      </w:rPr>
    </w:sdtEndPr>
    <w:sdtContent>
      <w:p w:rsidR="00F73336" w:rsidRDefault="00611823">
        <w:pPr>
          <w:pStyle w:val="Footer"/>
          <w:pBdr>
            <w:top w:val="single" w:sz="4" w:space="1" w:color="D9D9D9" w:themeColor="background1" w:themeShade="D9"/>
          </w:pBdr>
          <w:rPr>
            <w:b/>
            <w:bCs/>
          </w:rPr>
        </w:pPr>
        <w:r w:rsidRPr="00611823">
          <w:fldChar w:fldCharType="begin"/>
        </w:r>
        <w:r w:rsidR="00F73336">
          <w:instrText xml:space="preserve"> PAGE   \* MERGEFORMAT </w:instrText>
        </w:r>
        <w:r w:rsidRPr="00611823">
          <w:fldChar w:fldCharType="separate"/>
        </w:r>
        <w:r w:rsidR="00D0266D" w:rsidRPr="00D0266D">
          <w:rPr>
            <w:b/>
            <w:bCs/>
            <w:noProof/>
          </w:rPr>
          <w:t>8</w:t>
        </w:r>
        <w:r>
          <w:rPr>
            <w:b/>
            <w:bCs/>
            <w:noProof/>
          </w:rPr>
          <w:fldChar w:fldCharType="end"/>
        </w:r>
        <w:r w:rsidR="00F73336">
          <w:rPr>
            <w:b/>
            <w:bCs/>
          </w:rPr>
          <w:t xml:space="preserve"> | </w:t>
        </w:r>
        <w:r w:rsidR="00F73336">
          <w:rPr>
            <w:color w:val="808080" w:themeColor="background1" w:themeShade="80"/>
            <w:spacing w:val="60"/>
          </w:rPr>
          <w:t>Page</w:t>
        </w:r>
      </w:p>
    </w:sdtContent>
  </w:sdt>
  <w:p w:rsidR="00F73336" w:rsidRDefault="00F73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AEF" w:rsidRDefault="000B6AEF" w:rsidP="00F73336">
      <w:pPr>
        <w:spacing w:after="0" w:line="240" w:lineRule="auto"/>
      </w:pPr>
      <w:r>
        <w:separator/>
      </w:r>
    </w:p>
  </w:footnote>
  <w:footnote w:type="continuationSeparator" w:id="0">
    <w:p w:rsidR="000B6AEF" w:rsidRDefault="000B6AEF" w:rsidP="00F73336">
      <w:pPr>
        <w:spacing w:after="0" w:line="240" w:lineRule="auto"/>
      </w:pPr>
      <w:r>
        <w:continuationSeparator/>
      </w:r>
    </w:p>
  </w:footnote>
  <w:footnote w:id="1">
    <w:p w:rsidR="00905E30" w:rsidRDefault="00905E30">
      <w:pPr>
        <w:pStyle w:val="FootnoteText"/>
      </w:pPr>
      <w:r>
        <w:rPr>
          <w:rStyle w:val="FootnoteReference"/>
        </w:rPr>
        <w:footnoteRef/>
      </w:r>
      <w:r>
        <w:t xml:space="preserve"> ELCI and others v Turkey – Application number </w:t>
      </w:r>
      <w:r w:rsidR="00706AE4">
        <w:t xml:space="preserve">23143/93. For judgement see </w:t>
      </w:r>
      <w:hyperlink r:id="rId1" w:history="1">
        <w:r w:rsidR="00706AE4" w:rsidRPr="00BD11B9">
          <w:rPr>
            <w:rStyle w:val="Hyperlink"/>
          </w:rPr>
          <w:t>http://hudoc.echr.coe.int/sites/eng/pages/search.aspx?i=001-61442</w:t>
        </w:r>
      </w:hyperlink>
      <w:r w:rsidR="00706AE4">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303E"/>
    <w:multiLevelType w:val="hybridMultilevel"/>
    <w:tmpl w:val="D9BA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0E4ADC"/>
    <w:multiLevelType w:val="hybridMultilevel"/>
    <w:tmpl w:val="4FBE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1E606E"/>
    <w:multiLevelType w:val="hybridMultilevel"/>
    <w:tmpl w:val="6EAC4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2273"/>
    <w:rsid w:val="0002219D"/>
    <w:rsid w:val="00076F6C"/>
    <w:rsid w:val="000816D8"/>
    <w:rsid w:val="00096A7A"/>
    <w:rsid w:val="000B6AEF"/>
    <w:rsid w:val="00111FDE"/>
    <w:rsid w:val="001E5326"/>
    <w:rsid w:val="001E7710"/>
    <w:rsid w:val="00205BA8"/>
    <w:rsid w:val="00255D91"/>
    <w:rsid w:val="002B36B3"/>
    <w:rsid w:val="002E2F86"/>
    <w:rsid w:val="00304461"/>
    <w:rsid w:val="0032698C"/>
    <w:rsid w:val="00330908"/>
    <w:rsid w:val="0033165D"/>
    <w:rsid w:val="003408CE"/>
    <w:rsid w:val="0042459C"/>
    <w:rsid w:val="005252EA"/>
    <w:rsid w:val="005767FE"/>
    <w:rsid w:val="005921E1"/>
    <w:rsid w:val="005E6FC6"/>
    <w:rsid w:val="00611823"/>
    <w:rsid w:val="00617246"/>
    <w:rsid w:val="00656CF8"/>
    <w:rsid w:val="00662414"/>
    <w:rsid w:val="006A7BE1"/>
    <w:rsid w:val="006E4DEB"/>
    <w:rsid w:val="00706AE4"/>
    <w:rsid w:val="0075755F"/>
    <w:rsid w:val="00782273"/>
    <w:rsid w:val="007C3C10"/>
    <w:rsid w:val="00823A74"/>
    <w:rsid w:val="00853CA6"/>
    <w:rsid w:val="008A7127"/>
    <w:rsid w:val="00905E30"/>
    <w:rsid w:val="00920F56"/>
    <w:rsid w:val="00921ECC"/>
    <w:rsid w:val="00953339"/>
    <w:rsid w:val="00975379"/>
    <w:rsid w:val="009C22F5"/>
    <w:rsid w:val="00A75816"/>
    <w:rsid w:val="00AD61B7"/>
    <w:rsid w:val="00C62849"/>
    <w:rsid w:val="00CD5F2C"/>
    <w:rsid w:val="00D0266D"/>
    <w:rsid w:val="00D76DA4"/>
    <w:rsid w:val="00DC2E9F"/>
    <w:rsid w:val="00DD396E"/>
    <w:rsid w:val="00DD3A5D"/>
    <w:rsid w:val="00F73336"/>
    <w:rsid w:val="00FA008D"/>
    <w:rsid w:val="00FC1019"/>
    <w:rsid w:val="00FD5BC6"/>
    <w:rsid w:val="00FF65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2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2273"/>
    <w:rPr>
      <w:rFonts w:ascii="Calibri" w:hAnsi="Calibri"/>
      <w:szCs w:val="21"/>
    </w:rPr>
  </w:style>
  <w:style w:type="paragraph" w:styleId="Header">
    <w:name w:val="header"/>
    <w:basedOn w:val="Normal"/>
    <w:link w:val="HeaderChar"/>
    <w:uiPriority w:val="99"/>
    <w:unhideWhenUsed/>
    <w:rsid w:val="00F7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336"/>
  </w:style>
  <w:style w:type="paragraph" w:styleId="Footer">
    <w:name w:val="footer"/>
    <w:basedOn w:val="Normal"/>
    <w:link w:val="FooterChar"/>
    <w:uiPriority w:val="99"/>
    <w:unhideWhenUsed/>
    <w:rsid w:val="00F7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336"/>
  </w:style>
  <w:style w:type="paragraph" w:styleId="ListParagraph">
    <w:name w:val="List Paragraph"/>
    <w:basedOn w:val="Normal"/>
    <w:uiPriority w:val="34"/>
    <w:qFormat/>
    <w:rsid w:val="0033165D"/>
    <w:pPr>
      <w:ind w:left="720"/>
      <w:contextualSpacing/>
    </w:pPr>
  </w:style>
  <w:style w:type="paragraph" w:styleId="FootnoteText">
    <w:name w:val="footnote text"/>
    <w:basedOn w:val="Normal"/>
    <w:link w:val="FootnoteTextChar"/>
    <w:uiPriority w:val="99"/>
    <w:semiHidden/>
    <w:unhideWhenUsed/>
    <w:rsid w:val="00905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E30"/>
    <w:rPr>
      <w:sz w:val="20"/>
      <w:szCs w:val="20"/>
    </w:rPr>
  </w:style>
  <w:style w:type="character" w:styleId="FootnoteReference">
    <w:name w:val="footnote reference"/>
    <w:basedOn w:val="DefaultParagraphFont"/>
    <w:uiPriority w:val="99"/>
    <w:semiHidden/>
    <w:unhideWhenUsed/>
    <w:rsid w:val="00905E30"/>
    <w:rPr>
      <w:vertAlign w:val="superscript"/>
    </w:rPr>
  </w:style>
  <w:style w:type="character" w:styleId="Hyperlink">
    <w:name w:val="Hyperlink"/>
    <w:basedOn w:val="DefaultParagraphFont"/>
    <w:uiPriority w:val="99"/>
    <w:unhideWhenUsed/>
    <w:rsid w:val="00706AE4"/>
    <w:rPr>
      <w:color w:val="0000FF" w:themeColor="hyperlink"/>
      <w:u w:val="single"/>
    </w:rPr>
  </w:style>
  <w:style w:type="paragraph" w:styleId="NormalWeb">
    <w:name w:val="Normal (Web)"/>
    <w:basedOn w:val="Normal"/>
    <w:uiPriority w:val="99"/>
    <w:semiHidden/>
    <w:unhideWhenUsed/>
    <w:rsid w:val="00921E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C22F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C22F5"/>
    <w:rPr>
      <w:rFonts w:eastAsiaTheme="minorEastAsia"/>
      <w:lang w:val="en-US" w:eastAsia="ja-JP"/>
    </w:rPr>
  </w:style>
  <w:style w:type="paragraph" w:styleId="BalloonText">
    <w:name w:val="Balloon Text"/>
    <w:basedOn w:val="Normal"/>
    <w:link w:val="BalloonTextChar"/>
    <w:uiPriority w:val="99"/>
    <w:semiHidden/>
    <w:unhideWhenUsed/>
    <w:rsid w:val="009C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2F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2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2273"/>
    <w:rPr>
      <w:rFonts w:ascii="Calibri" w:hAnsi="Calibri"/>
      <w:szCs w:val="21"/>
    </w:rPr>
  </w:style>
  <w:style w:type="paragraph" w:styleId="Header">
    <w:name w:val="header"/>
    <w:basedOn w:val="Normal"/>
    <w:link w:val="HeaderChar"/>
    <w:uiPriority w:val="99"/>
    <w:unhideWhenUsed/>
    <w:rsid w:val="00F7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336"/>
  </w:style>
  <w:style w:type="paragraph" w:styleId="Footer">
    <w:name w:val="footer"/>
    <w:basedOn w:val="Normal"/>
    <w:link w:val="FooterChar"/>
    <w:uiPriority w:val="99"/>
    <w:unhideWhenUsed/>
    <w:rsid w:val="00F7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336"/>
  </w:style>
  <w:style w:type="paragraph" w:styleId="ListParagraph">
    <w:name w:val="List Paragraph"/>
    <w:basedOn w:val="Normal"/>
    <w:uiPriority w:val="34"/>
    <w:qFormat/>
    <w:rsid w:val="0033165D"/>
    <w:pPr>
      <w:ind w:left="720"/>
      <w:contextualSpacing/>
    </w:pPr>
  </w:style>
  <w:style w:type="paragraph" w:styleId="FootnoteText">
    <w:name w:val="footnote text"/>
    <w:basedOn w:val="Normal"/>
    <w:link w:val="FootnoteTextChar"/>
    <w:uiPriority w:val="99"/>
    <w:semiHidden/>
    <w:unhideWhenUsed/>
    <w:rsid w:val="00905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E30"/>
    <w:rPr>
      <w:sz w:val="20"/>
      <w:szCs w:val="20"/>
    </w:rPr>
  </w:style>
  <w:style w:type="character" w:styleId="FootnoteReference">
    <w:name w:val="footnote reference"/>
    <w:basedOn w:val="DefaultParagraphFont"/>
    <w:uiPriority w:val="99"/>
    <w:semiHidden/>
    <w:unhideWhenUsed/>
    <w:rsid w:val="00905E30"/>
    <w:rPr>
      <w:vertAlign w:val="superscript"/>
    </w:rPr>
  </w:style>
  <w:style w:type="character" w:styleId="Hyperlink">
    <w:name w:val="Hyperlink"/>
    <w:basedOn w:val="DefaultParagraphFont"/>
    <w:uiPriority w:val="99"/>
    <w:unhideWhenUsed/>
    <w:rsid w:val="00706AE4"/>
    <w:rPr>
      <w:color w:val="0000FF" w:themeColor="hyperlink"/>
      <w:u w:val="single"/>
    </w:rPr>
  </w:style>
  <w:style w:type="paragraph" w:styleId="NormalWeb">
    <w:name w:val="Normal (Web)"/>
    <w:basedOn w:val="Normal"/>
    <w:uiPriority w:val="99"/>
    <w:semiHidden/>
    <w:unhideWhenUsed/>
    <w:rsid w:val="00921E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C22F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C22F5"/>
    <w:rPr>
      <w:rFonts w:eastAsiaTheme="minorEastAsia"/>
      <w:lang w:val="en-US" w:eastAsia="ja-JP"/>
    </w:rPr>
  </w:style>
  <w:style w:type="paragraph" w:styleId="BalloonText">
    <w:name w:val="Balloon Text"/>
    <w:basedOn w:val="Normal"/>
    <w:link w:val="BalloonTextChar"/>
    <w:uiPriority w:val="99"/>
    <w:semiHidden/>
    <w:unhideWhenUsed/>
    <w:rsid w:val="009C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6775">
      <w:bodyDiv w:val="1"/>
      <w:marLeft w:val="0"/>
      <w:marRight w:val="0"/>
      <w:marTop w:val="0"/>
      <w:marBottom w:val="0"/>
      <w:divBdr>
        <w:top w:val="none" w:sz="0" w:space="0" w:color="auto"/>
        <w:left w:val="none" w:sz="0" w:space="0" w:color="auto"/>
        <w:bottom w:val="none" w:sz="0" w:space="0" w:color="auto"/>
        <w:right w:val="none" w:sz="0" w:space="0" w:color="auto"/>
      </w:divBdr>
    </w:div>
    <w:div w:id="13357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sites/eng/pages/search.aspx?i=001-6144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F141E9C90B4A3FB3DD17E3A8226962"/>
        <w:category>
          <w:name w:val="General"/>
          <w:gallery w:val="placeholder"/>
        </w:category>
        <w:types>
          <w:type w:val="bbPlcHdr"/>
        </w:types>
        <w:behaviors>
          <w:behavior w:val="content"/>
        </w:behaviors>
        <w:guid w:val="{205468FF-4E85-408A-88B7-04B9A532EF25}"/>
      </w:docPartPr>
      <w:docPartBody>
        <w:p w:rsidR="00333A27" w:rsidRDefault="00150F5C" w:rsidP="00150F5C">
          <w:pPr>
            <w:pStyle w:val="5CF141E9C90B4A3FB3DD17E3A8226962"/>
          </w:pPr>
          <w:r>
            <w:rPr>
              <w:rFonts w:asciiTheme="majorHAnsi" w:eastAsiaTheme="majorEastAsia" w:hAnsiTheme="majorHAnsi" w:cstheme="majorBidi"/>
              <w:caps/>
            </w:rPr>
            <w:t>[Type the company name]</w:t>
          </w:r>
        </w:p>
      </w:docPartBody>
    </w:docPart>
    <w:docPart>
      <w:docPartPr>
        <w:name w:val="2A942A3D379249E990521FD16DF9323A"/>
        <w:category>
          <w:name w:val="General"/>
          <w:gallery w:val="placeholder"/>
        </w:category>
        <w:types>
          <w:type w:val="bbPlcHdr"/>
        </w:types>
        <w:behaviors>
          <w:behavior w:val="content"/>
        </w:behaviors>
        <w:guid w:val="{601C8248-49A0-4E41-95B9-FDC8E44AFBA0}"/>
      </w:docPartPr>
      <w:docPartBody>
        <w:p w:rsidR="00333A27" w:rsidRDefault="00150F5C" w:rsidP="00150F5C">
          <w:pPr>
            <w:pStyle w:val="2A942A3D379249E990521FD16DF9323A"/>
          </w:pPr>
          <w:r>
            <w:rPr>
              <w:rFonts w:asciiTheme="majorHAnsi" w:eastAsiaTheme="majorEastAsia" w:hAnsiTheme="majorHAnsi" w:cstheme="majorBidi"/>
              <w:sz w:val="80"/>
              <w:szCs w:val="80"/>
            </w:rPr>
            <w:t>[Type the document title]</w:t>
          </w:r>
        </w:p>
      </w:docPartBody>
    </w:docPart>
    <w:docPart>
      <w:docPartPr>
        <w:name w:val="1502284875B7481FB2F57314592AC571"/>
        <w:category>
          <w:name w:val="General"/>
          <w:gallery w:val="placeholder"/>
        </w:category>
        <w:types>
          <w:type w:val="bbPlcHdr"/>
        </w:types>
        <w:behaviors>
          <w:behavior w:val="content"/>
        </w:behaviors>
        <w:guid w:val="{0171DDC0-2480-4C3E-B774-7AF65910C05F}"/>
      </w:docPartPr>
      <w:docPartBody>
        <w:p w:rsidR="00333A27" w:rsidRDefault="00150F5C" w:rsidP="00150F5C">
          <w:pPr>
            <w:pStyle w:val="1502284875B7481FB2F57314592AC571"/>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0F5C"/>
    <w:rsid w:val="00150F5C"/>
    <w:rsid w:val="0017626C"/>
    <w:rsid w:val="00333A27"/>
    <w:rsid w:val="008615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F141E9C90B4A3FB3DD17E3A8226962">
    <w:name w:val="5CF141E9C90B4A3FB3DD17E3A8226962"/>
    <w:rsid w:val="00150F5C"/>
  </w:style>
  <w:style w:type="paragraph" w:customStyle="1" w:styleId="2A942A3D379249E990521FD16DF9323A">
    <w:name w:val="2A942A3D379249E990521FD16DF9323A"/>
    <w:rsid w:val="00150F5C"/>
  </w:style>
  <w:style w:type="paragraph" w:customStyle="1" w:styleId="1502284875B7481FB2F57314592AC571">
    <w:name w:val="1502284875B7481FB2F57314592AC571"/>
    <w:rsid w:val="00150F5C"/>
  </w:style>
  <w:style w:type="paragraph" w:customStyle="1" w:styleId="43752DE3E4A84F81B5C325BAD87BB84D">
    <w:name w:val="43752DE3E4A84F81B5C325BAD87BB84D"/>
    <w:rsid w:val="00150F5C"/>
  </w:style>
  <w:style w:type="paragraph" w:customStyle="1" w:styleId="C19A5F02D9CF4D9A88904A70E5707C83">
    <w:name w:val="C19A5F02D9CF4D9A88904A70E5707C83"/>
    <w:rsid w:val="00150F5C"/>
  </w:style>
  <w:style w:type="paragraph" w:customStyle="1" w:styleId="ECC68234D06D490A8508EF5FE8C4C1EF">
    <w:name w:val="ECC68234D06D490A8508EF5FE8C4C1EF"/>
    <w:rsid w:val="00150F5C"/>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2013-01-06T00:00:00</PublishDate>
  <Abstract>Report of hearing at Silviri Court Istanbul 3rd January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A6A649-7E5E-4318-80B0-4C9625AB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KCK Lawyers Trial</Company>
  <LinksUpToDate>false</LinksUpToDate>
  <CharactersWithSpaces>23139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Observation Report</dc:title>
  <dc:subject>Hearing of 3rd January 2013</dc:subject>
  <dc:creator>Tony Fisher</dc:creator>
  <cp:lastModifiedBy>john hunt</cp:lastModifiedBy>
  <cp:revision>2</cp:revision>
  <cp:lastPrinted>2013-01-05T13:45:00Z</cp:lastPrinted>
  <dcterms:created xsi:type="dcterms:W3CDTF">2013-01-09T09:35:00Z</dcterms:created>
  <dcterms:modified xsi:type="dcterms:W3CDTF">2013-01-09T09:35:00Z</dcterms:modified>
</cp:coreProperties>
</file>